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Override ContentType="application/vnd.openxmlformats-officedocument.wordprocessingml.header+xml" PartName="/word/header2.xml"/>
  <Override ContentType="application/vnd.openxmlformats-officedocument.wordprocessingml.footer+xml" PartName="/word/footer2.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before="0"/>
        <w:jc w:val="center"/>
      </w:pPr>
      <w:r>
        <w:rPr>
          <w:rFonts w:ascii="Calibri" w:cs="Calibri" w:eastAsia="Calibri" w:hAnsi="Calibri"/>
          <w:b/>
          <w:bCs/>
          <w:color w:val="1F3A5F"/>
          <w:sz w:val="44"/>
          <w:szCs w:val="44"/>
        </w:rPr>
        <w:t xml:space="preserve">EXECUTIVE OVERSIGHT COMMITTEE (EOC)</w:t>
      </w:r>
    </w:p>
    <w:p>
      <w:pPr>
        <w:spacing w:after="120" w:before="0"/>
        <w:jc w:val="center"/>
      </w:pPr>
      <w:r>
        <w:rPr>
          <w:rFonts w:ascii="Calibri" w:cs="Calibri" w:eastAsia="Calibri" w:hAnsi="Calibri"/>
          <w:b/>
          <w:bCs/>
          <w:color w:val="1F3A5F"/>
          <w:sz w:val="44"/>
          <w:szCs w:val="44"/>
        </w:rPr>
        <w:t xml:space="preserve">MEETING MINUTES</w:t>
      </w:r>
    </w:p>
    <w:p>
      <w:pPr>
        <w:spacing w:after="240" w:before="0"/>
        <w:jc w:val="center"/>
      </w:pPr>
      <w:r>
        <w:rPr>
          <w:rFonts w:ascii="Calibri" w:cs="Calibri" w:eastAsia="Calibri" w:hAnsi="Calibri"/>
          <w:i/>
          <w:iCs/>
          <w:color w:val="404040"/>
          <w:sz w:val="22"/>
          <w:szCs w:val="22"/>
        </w:rPr>
        <w:t xml:space="preserve">Icahn School of Medicine at Mount Sinai  |  September 20, 2024</w:t>
      </w:r>
    </w:p>
    <w:p>
      <w:pPr>
        <w:pBdr>
          <w:top w:val="single" w:color="C00000" w:sz="6" w:space="4"/>
          <w:bottom w:val="single" w:color="C00000" w:sz="6" w:space="4"/>
        </w:pBdr>
        <w:spacing w:after="240" w:before="0"/>
        <w:jc w:val="center"/>
      </w:pPr>
      <w:r>
        <w:rPr>
          <w:rFonts w:ascii="Calibri" w:cs="Calibri" w:eastAsia="Calibri" w:hAnsi="Calibri"/>
          <w:i/>
          <w:iCs/>
          <w:color w:val="C00000"/>
          <w:sz w:val="20"/>
          <w:szCs w:val="20"/>
        </w:rPr>
        <w:t xml:space="preserve">⚠ Note: The AY 2024–2025 EOC membership roster has been reconstructed from multiple sources and may contain inaccuracies. The EOC era had a different voting structure than the EEC eras that followed (subcommittee chairs and several representative positions were voting members in the EOC, but became non-voting CA Leadership in the EEC). Roster corrections (per Sr. Associate Dean for Curricular Affairs, May 25, 2026): Avnish Deobhakta seated July 26, 2024 and departed January 2025; Jillian Palmer is a voting member as Director of Student Success and Progression (per AY 2024-25 and AY 2025-26 through December 2026); Jacquelyn Chudow is a guest presenter for admissions-related items, not a standing member. The name 'Vicindra' appearing in the July 12, 2024 transcript refers to Vasundhara Singh. Please verify attendance against contemporaneous EOC records before finalizing.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40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spacing w:after="40" w:before="40" w:line="276"/>
            </w:pPr>
            <w:r>
              <w:rPr>
                <w:rFonts w:ascii="Calibri" w:cs="Calibri" w:eastAsia="Calibri" w:hAnsi="Calibri"/>
                <w:b/>
                <w:bCs/>
                <w:color w:val="1F3A5F"/>
                <w:sz w:val="22"/>
                <w:szCs w:val="22"/>
              </w:rPr>
              <w:t xml:space="preserve">Committee</w:t>
            </w:r>
          </w:p>
        </w:tc>
        <w:tc>
          <w:tcPr>
            <w:tcW w:type="dxa" w:w="696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spacing w:after="40" w:before="40" w:line="276"/>
            </w:pPr>
            <w:r>
              <w:rPr>
                <w:rFonts w:ascii="Calibri" w:cs="Calibri" w:eastAsia="Calibri" w:hAnsi="Calibri"/>
                <w:color w:val="404040"/>
                <w:sz w:val="22"/>
                <w:szCs w:val="22"/>
              </w:rPr>
              <w:t xml:space="preserve">Executive Oversight Committee (EOC)</w:t>
            </w:r>
          </w:p>
        </w:tc>
      </w:tr>
      <w:tr>
        <w:tc>
          <w:tcPr>
            <w:tcW w:type="dxa" w:w="240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spacing w:after="40" w:before="40" w:line="276"/>
            </w:pPr>
            <w:r>
              <w:rPr>
                <w:rFonts w:ascii="Calibri" w:cs="Calibri" w:eastAsia="Calibri" w:hAnsi="Calibri"/>
                <w:b/>
                <w:bCs/>
                <w:color w:val="1F3A5F"/>
                <w:sz w:val="22"/>
                <w:szCs w:val="22"/>
              </w:rPr>
              <w:t xml:space="preserve">Meeting Type</w:t>
            </w:r>
          </w:p>
        </w:tc>
        <w:tc>
          <w:tcPr>
            <w:tcW w:type="dxa" w:w="696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spacing w:after="40" w:before="40" w:line="276"/>
            </w:pPr>
            <w:r>
              <w:rPr>
                <w:rFonts w:ascii="Calibri" w:cs="Calibri" w:eastAsia="Calibri" w:hAnsi="Calibri"/>
                <w:color w:val="404040"/>
                <w:sz w:val="22"/>
                <w:szCs w:val="22"/>
              </w:rPr>
              <w:t xml:space="preserve">Regular Scheduled Meeting</w:t>
            </w:r>
          </w:p>
        </w:tc>
      </w:tr>
      <w:tr>
        <w:tc>
          <w:tcPr>
            <w:tcW w:type="dxa" w:w="240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spacing w:after="40" w:before="40" w:line="276"/>
            </w:pPr>
            <w:r>
              <w:rPr>
                <w:rFonts w:ascii="Calibri" w:cs="Calibri" w:eastAsia="Calibri" w:hAnsi="Calibri"/>
                <w:b/>
                <w:bCs/>
                <w:color w:val="1F3A5F"/>
                <w:sz w:val="22"/>
                <w:szCs w:val="22"/>
              </w:rPr>
              <w:t xml:space="preserve">Date</w:t>
            </w:r>
          </w:p>
        </w:tc>
        <w:tc>
          <w:tcPr>
            <w:tcW w:type="dxa" w:w="696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spacing w:after="40" w:before="40" w:line="276"/>
            </w:pPr>
            <w:r>
              <w:rPr>
                <w:rFonts w:ascii="Calibri" w:cs="Calibri" w:eastAsia="Calibri" w:hAnsi="Calibri"/>
                <w:color w:val="404040"/>
                <w:sz w:val="22"/>
                <w:szCs w:val="22"/>
              </w:rPr>
              <w:t xml:space="preserve">September 20, 2024 (Friday)</w:t>
            </w:r>
          </w:p>
        </w:tc>
      </w:tr>
      <w:tr>
        <w:tc>
          <w:tcPr>
            <w:tcW w:type="dxa" w:w="240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spacing w:after="40" w:before="40" w:line="276"/>
            </w:pPr>
            <w:r>
              <w:rPr>
                <w:rFonts w:ascii="Calibri" w:cs="Calibri" w:eastAsia="Calibri" w:hAnsi="Calibri"/>
                <w:b/>
                <w:bCs/>
                <w:color w:val="1F3A5F"/>
                <w:sz w:val="22"/>
                <w:szCs w:val="22"/>
              </w:rPr>
              <w:t xml:space="preserve">Time</w:t>
            </w:r>
          </w:p>
        </w:tc>
        <w:tc>
          <w:tcPr>
            <w:tcW w:type="dxa" w:w="696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spacing w:after="40" w:before="40" w:line="276"/>
            </w:pPr>
            <w:r>
              <w:rPr>
                <w:rFonts w:ascii="Calibri" w:cs="Calibri" w:eastAsia="Calibri" w:hAnsi="Calibri"/>
                <w:color w:val="404040"/>
                <w:sz w:val="22"/>
                <w:szCs w:val="22"/>
              </w:rPr>
              <w:t xml:space="preserve">Approximately 12:05 p.m. – 1:02 p.m. ET</w:t>
            </w:r>
          </w:p>
        </w:tc>
      </w:tr>
      <w:tr>
        <w:tc>
          <w:tcPr>
            <w:tcW w:type="dxa" w:w="240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spacing w:after="40" w:before="40" w:line="276"/>
            </w:pPr>
            <w:r>
              <w:rPr>
                <w:rFonts w:ascii="Calibri" w:cs="Calibri" w:eastAsia="Calibri" w:hAnsi="Calibri"/>
                <w:b/>
                <w:bCs/>
                <w:color w:val="1F3A5F"/>
                <w:sz w:val="22"/>
                <w:szCs w:val="22"/>
              </w:rPr>
              <w:t xml:space="preserve">Modality</w:t>
            </w:r>
          </w:p>
        </w:tc>
        <w:tc>
          <w:tcPr>
            <w:tcW w:type="dxa" w:w="696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spacing w:after="40" w:before="40" w:line="276"/>
            </w:pPr>
            <w:r>
              <w:rPr>
                <w:rFonts w:ascii="Calibri" w:cs="Calibri" w:eastAsia="Calibri" w:hAnsi="Calibri"/>
                <w:color w:val="404040"/>
                <w:sz w:val="22"/>
                <w:szCs w:val="22"/>
              </w:rPr>
              <w:t xml:space="preserve">Zoom (virtual)</w:t>
            </w:r>
          </w:p>
        </w:tc>
      </w:tr>
      <w:tr>
        <w:tc>
          <w:tcPr>
            <w:tcW w:type="dxa" w:w="240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spacing w:after="40" w:before="40" w:line="276"/>
            </w:pPr>
            <w:r>
              <w:rPr>
                <w:rFonts w:ascii="Calibri" w:cs="Calibri" w:eastAsia="Calibri" w:hAnsi="Calibri"/>
                <w:b/>
                <w:bCs/>
                <w:color w:val="1F3A5F"/>
                <w:sz w:val="22"/>
                <w:szCs w:val="22"/>
              </w:rPr>
              <w:t xml:space="preserve">Presiding Officer</w:t>
            </w:r>
          </w:p>
        </w:tc>
        <w:tc>
          <w:tcPr>
            <w:tcW w:type="dxa" w:w="696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spacing w:after="40" w:before="40" w:line="276"/>
            </w:pPr>
            <w:r>
              <w:rPr>
                <w:rFonts w:ascii="Calibri" w:cs="Calibri" w:eastAsia="Calibri" w:hAnsi="Calibri"/>
                <w:color w:val="404040"/>
                <w:sz w:val="22"/>
                <w:szCs w:val="22"/>
              </w:rPr>
              <w:t xml:space="preserve">Michelle Francis, MD — Chair, Executive Oversight Committee</w:t>
            </w:r>
          </w:p>
        </w:tc>
      </w:tr>
      <w:tr>
        <w:tc>
          <w:tcPr>
            <w:tcW w:type="dxa" w:w="240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spacing w:after="40" w:before="40" w:line="276"/>
            </w:pPr>
            <w:r>
              <w:rPr>
                <w:rFonts w:ascii="Calibri" w:cs="Calibri" w:eastAsia="Calibri" w:hAnsi="Calibri"/>
                <w:b/>
                <w:bCs/>
                <w:color w:val="1F3A5F"/>
                <w:sz w:val="22"/>
                <w:szCs w:val="22"/>
              </w:rPr>
              <w:t xml:space="preserve">Recording Secretary</w:t>
            </w:r>
          </w:p>
        </w:tc>
        <w:tc>
          <w:tcPr>
            <w:tcW w:type="dxa" w:w="696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spacing w:after="40" w:before="40" w:line="276"/>
            </w:pPr>
            <w:r>
              <w:rPr>
                <w:rFonts w:ascii="Calibri" w:cs="Calibri" w:eastAsia="Calibri" w:hAnsi="Calibri"/>
                <w:color w:val="404040"/>
                <w:sz w:val="22"/>
                <w:szCs w:val="22"/>
              </w:rPr>
              <w:t xml:space="preserve">Fatima Shafiq, Project Manager, Curricular Affairs</w:t>
            </w:r>
          </w:p>
        </w:tc>
      </w:tr>
      <w:tr>
        <w:tc>
          <w:tcPr>
            <w:tcW w:type="dxa" w:w="240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spacing w:after="40" w:before="40" w:line="276"/>
            </w:pPr>
            <w:r>
              <w:rPr>
                <w:rFonts w:ascii="Calibri" w:cs="Calibri" w:eastAsia="Calibri" w:hAnsi="Calibri"/>
                <w:b/>
                <w:bCs/>
                <w:color w:val="1F3A5F"/>
                <w:sz w:val="22"/>
                <w:szCs w:val="22"/>
              </w:rPr>
              <w:t xml:space="preserve">Quorum</w:t>
            </w:r>
          </w:p>
        </w:tc>
        <w:tc>
          <w:tcPr>
            <w:tcW w:type="dxa" w:w="696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spacing w:after="40" w:before="40" w:line="276"/>
            </w:pPr>
            <w:r>
              <w:rPr>
                <w:rFonts w:ascii="Calibri" w:cs="Calibri" w:eastAsia="Calibri" w:hAnsi="Calibri"/>
                <w:color w:val="404040"/>
                <w:sz w:val="22"/>
                <w:szCs w:val="22"/>
              </w:rPr>
              <w:t xml:space="preserve">Confirmed at call to order; Chair requested support with the count (see Section 2)</w:t>
            </w:r>
          </w:p>
        </w:tc>
      </w:tr>
      <w:tr>
        <w:tc>
          <w:tcPr>
            <w:tcW w:type="dxa" w:w="240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spacing w:after="40" w:before="40" w:line="276"/>
            </w:pPr>
            <w:r>
              <w:rPr>
                <w:rFonts w:ascii="Calibri" w:cs="Calibri" w:eastAsia="Calibri" w:hAnsi="Calibri"/>
                <w:b/>
                <w:bCs/>
                <w:color w:val="1F3A5F"/>
                <w:sz w:val="22"/>
                <w:szCs w:val="22"/>
              </w:rPr>
              <w:t xml:space="preserve">Recording</w:t>
            </w:r>
          </w:p>
        </w:tc>
        <w:tc>
          <w:tcPr>
            <w:tcW w:type="dxa" w:w="696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spacing w:after="40" w:before="40" w:line="276"/>
            </w:pPr>
            <w:r>
              <w:rPr>
                <w:rFonts w:ascii="Calibri" w:cs="Calibri" w:eastAsia="Calibri" w:hAnsi="Calibri"/>
                <w:color w:val="404040"/>
                <w:sz w:val="22"/>
                <w:szCs w:val="22"/>
              </w:rPr>
              <w:t xml:space="preserve">Zoom transcript on file (GMT20240920-160606); reference source for these minutes</w:t>
            </w:r>
          </w:p>
        </w:tc>
      </w:tr>
    </w:tbl>
    <w:p>
      <w:pPr>
        <w:spacing w:after="120" w:before="0" w:line="276"/>
      </w:pPr>
    </w:p>
    <w:p>
      <w:pPr>
        <w:pStyle w:val="Heading1"/>
        <w:pBdr>
          <w:bottom w:val="single" w:color="1F3A5F" w:sz="8" w:space="4"/>
        </w:pBdr>
        <w:spacing w:after="160" w:before="320"/>
      </w:pPr>
      <w:r>
        <w:rPr>
          <w:rFonts w:ascii="Calibri" w:cs="Calibri" w:eastAsia="Calibri" w:hAnsi="Calibri"/>
          <w:b/>
          <w:bCs/>
          <w:color w:val="1F3A5F"/>
          <w:sz w:val="28"/>
          <w:szCs w:val="28"/>
        </w:rPr>
        <w:t xml:space="preserve">1. Attendance</w:t>
      </w:r>
    </w:p>
    <w:p>
      <w:pPr>
        <w:spacing w:after="120" w:before="0" w:line="276"/>
      </w:pPr>
      <w:r>
        <w:rPr>
          <w:rFonts w:ascii="Calibri" w:cs="Calibri" w:eastAsia="Calibri" w:hAnsi="Calibri"/>
          <w:color w:val="404040"/>
          <w:sz w:val="22"/>
          <w:szCs w:val="22"/>
        </w:rPr>
        <w:t xml:space="preserve">Attendance is reported in alignment with LCME Element 8.1 (Curricular Management) documentation expectations. Note: The AY 2024–2025 EOC membership roster has been reconstructed from multiple sources and may contain inaccuracies. The EOC era had a different voting structure than the EEC eras that followed (subcommittee chairs and several representative positions were voting members in the EOC, but became non-voting CA Leadership in the EEC). Roster corrections (per Sr. Associate Dean for Curricular Affairs, May 25, 2026): Avnish Deobhakta seated July 26, 2024 and departed January 2025; Jillian Palmer is a voting member as Director of Student Success and Progression (per AY 2024-25 and AY 2025-26 through December 2026); Jacquelyn Chudow is a guest presenter for admissions-related items, not a standing member. The name 'Vicindra' appearing in the July 12, 2024 transcript refers to Vasundhara Singh. Please verify attendance against contemporaneous EOC records before finalizing.</w:t>
      </w:r>
    </w:p>
    <w:p>
      <w:pPr>
        <w:pStyle w:val="Heading2"/>
        <w:spacing w:after="120" w:before="240"/>
      </w:pPr>
      <w:r>
        <w:rPr>
          <w:rFonts w:ascii="Calibri" w:cs="Calibri" w:eastAsia="Calibri" w:hAnsi="Calibri"/>
          <w:b/>
          <w:bCs/>
          <w:color w:val="2E5984"/>
          <w:sz w:val="26"/>
          <w:szCs w:val="26"/>
        </w:rPr>
        <w:t xml:space="preserve">Voting Members Present (5)</w:t>
      </w:r>
    </w:p>
    <w:p>
      <w:pPr>
        <w:pStyle w:val="ListParagraph"/>
        <w:numPr>
          <w:ilvl w:val="0"/>
          <w:numId w:val="2"/>
        </w:numPr>
        <w:spacing w:after="40" w:before="0" w:line="276"/>
      </w:pPr>
      <w:r>
        <w:rPr>
          <w:rFonts w:ascii="Calibri" w:cs="Calibri" w:eastAsia="Calibri" w:hAnsi="Calibri"/>
          <w:color w:val="404040"/>
          <w:sz w:val="22"/>
          <w:szCs w:val="22"/>
        </w:rPr>
        <w:t xml:space="preserve">Michelle Francis, MD — Chair (presiding); Assistant Professor – OB/GYN</w:t>
      </w:r>
    </w:p>
    <w:p>
      <w:pPr>
        <w:pStyle w:val="ListParagraph"/>
        <w:numPr>
          <w:ilvl w:val="0"/>
          <w:numId w:val="2"/>
        </w:numPr>
        <w:spacing w:after="40" w:before="0" w:line="276"/>
      </w:pPr>
      <w:r>
        <w:rPr>
          <w:rFonts w:ascii="Calibri" w:cs="Calibri" w:eastAsia="Calibri" w:hAnsi="Calibri"/>
          <w:color w:val="404040"/>
          <w:sz w:val="22"/>
          <w:szCs w:val="22"/>
        </w:rPr>
        <w:t xml:space="preserve">Tonia Kim, MD — Faculty Curricular Leader (Phase 1); Module Director (Pre-clerkship)</w:t>
      </w:r>
    </w:p>
    <w:p>
      <w:pPr>
        <w:pStyle w:val="ListParagraph"/>
        <w:numPr>
          <w:ilvl w:val="0"/>
          <w:numId w:val="2"/>
        </w:numPr>
        <w:spacing w:after="40" w:before="0" w:line="276"/>
      </w:pPr>
      <w:r>
        <w:rPr>
          <w:rFonts w:ascii="Calibri" w:cs="Calibri" w:eastAsia="Calibri" w:hAnsi="Calibri"/>
          <w:color w:val="404040"/>
          <w:sz w:val="22"/>
          <w:szCs w:val="22"/>
        </w:rPr>
        <w:t xml:space="preserve">Richard Stern, MD — Faculty Educator at Large; Associate Professor – Radiology, Medical Education</w:t>
      </w:r>
    </w:p>
    <w:p>
      <w:pPr>
        <w:pStyle w:val="ListParagraph"/>
        <w:numPr>
          <w:ilvl w:val="0"/>
          <w:numId w:val="2"/>
        </w:numPr>
        <w:spacing w:after="40" w:before="0" w:line="276"/>
      </w:pPr>
      <w:r>
        <w:rPr>
          <w:rFonts w:ascii="Calibri" w:cs="Calibri" w:eastAsia="Calibri" w:hAnsi="Calibri"/>
          <w:color w:val="404040"/>
          <w:sz w:val="22"/>
          <w:szCs w:val="22"/>
        </w:rPr>
        <w:t xml:space="preserve">Avnish Deobhakta, MD — Faculty Educator at Large; Ophthalmology (seated July 26, 2024; left January 2025)</w:t>
      </w:r>
    </w:p>
    <w:p>
      <w:pPr>
        <w:pStyle w:val="ListParagraph"/>
        <w:numPr>
          <w:ilvl w:val="0"/>
          <w:numId w:val="2"/>
        </w:numPr>
        <w:spacing w:after="40" w:before="0" w:line="276"/>
      </w:pPr>
      <w:r>
        <w:rPr>
          <w:rFonts w:ascii="Calibri" w:cs="Calibri" w:eastAsia="Calibri" w:hAnsi="Calibri"/>
          <w:color w:val="404040"/>
          <w:sz w:val="22"/>
          <w:szCs w:val="22"/>
        </w:rPr>
        <w:t xml:space="preserve">Staci Leisman, MD — Chair, Course Directors Subcommittee</w:t>
      </w:r>
    </w:p>
    <w:p>
      <w:pPr>
        <w:pStyle w:val="Heading2"/>
        <w:spacing w:after="120" w:before="240"/>
      </w:pPr>
      <w:r>
        <w:rPr>
          <w:rFonts w:ascii="Calibri" w:cs="Calibri" w:eastAsia="Calibri" w:hAnsi="Calibri"/>
          <w:b/>
          <w:bCs/>
          <w:color w:val="2E5984"/>
          <w:sz w:val="26"/>
          <w:szCs w:val="26"/>
        </w:rPr>
        <w:t xml:space="preserve">Voting Members Absent (26)</w:t>
      </w:r>
    </w:p>
    <w:p>
      <w:pPr>
        <w:pStyle w:val="ListParagraph"/>
        <w:numPr>
          <w:ilvl w:val="0"/>
          <w:numId w:val="2"/>
        </w:numPr>
        <w:spacing w:after="40" w:before="0" w:line="276"/>
      </w:pPr>
      <w:r>
        <w:rPr>
          <w:rFonts w:ascii="Calibri" w:cs="Calibri" w:eastAsia="Calibri" w:hAnsi="Calibri"/>
          <w:color w:val="404040"/>
          <w:sz w:val="22"/>
          <w:szCs w:val="22"/>
        </w:rPr>
        <w:t xml:space="preserve">Ganesh Gunasekaran, MD — Faculty Educator at Large; Section Chief of Hepatobiliary Surgery</w:t>
      </w:r>
    </w:p>
    <w:p>
      <w:pPr>
        <w:pStyle w:val="ListParagraph"/>
        <w:numPr>
          <w:ilvl w:val="0"/>
          <w:numId w:val="2"/>
        </w:numPr>
        <w:spacing w:after="40" w:before="0" w:line="276"/>
      </w:pPr>
      <w:r>
        <w:rPr>
          <w:rFonts w:ascii="Calibri" w:cs="Calibri" w:eastAsia="Calibri" w:hAnsi="Calibri"/>
          <w:color w:val="404040"/>
          <w:sz w:val="22"/>
          <w:szCs w:val="22"/>
        </w:rPr>
        <w:t xml:space="preserve">Eric Kutscher, MD — Faculty Educator at Large; Assistant Professor – General Internal Medicine</w:t>
      </w:r>
    </w:p>
    <w:p>
      <w:pPr>
        <w:pStyle w:val="ListParagraph"/>
        <w:numPr>
          <w:ilvl w:val="0"/>
          <w:numId w:val="2"/>
        </w:numPr>
        <w:spacing w:after="40" w:before="0" w:line="276"/>
      </w:pPr>
      <w:r>
        <w:rPr>
          <w:rFonts w:ascii="Calibri" w:cs="Calibri" w:eastAsia="Calibri" w:hAnsi="Calibri"/>
          <w:color w:val="404040"/>
          <w:sz w:val="22"/>
          <w:szCs w:val="22"/>
        </w:rPr>
        <w:t xml:space="preserve">Arvind Kamthan, MD — Faculty Educator at Large; Associate Professor – Hematology and Medical Oncology</w:t>
      </w:r>
    </w:p>
    <w:p>
      <w:pPr>
        <w:pStyle w:val="ListParagraph"/>
        <w:numPr>
          <w:ilvl w:val="0"/>
          <w:numId w:val="2"/>
        </w:numPr>
        <w:spacing w:after="40" w:before="0" w:line="276"/>
      </w:pPr>
      <w:r>
        <w:rPr>
          <w:rFonts w:ascii="Calibri" w:cs="Calibri" w:eastAsia="Calibri" w:hAnsi="Calibri"/>
          <w:color w:val="404040"/>
          <w:sz w:val="22"/>
          <w:szCs w:val="22"/>
        </w:rPr>
        <w:t xml:space="preserve">Brian Rice, MD — Faculty Educator at Large; Assistant Professor – Hospital Medicine</w:t>
      </w:r>
    </w:p>
    <w:p>
      <w:pPr>
        <w:pStyle w:val="ListParagraph"/>
        <w:numPr>
          <w:ilvl w:val="0"/>
          <w:numId w:val="2"/>
        </w:numPr>
        <w:spacing w:after="40" w:before="0" w:line="276"/>
      </w:pPr>
      <w:r>
        <w:rPr>
          <w:rFonts w:ascii="Calibri" w:cs="Calibri" w:eastAsia="Calibri" w:hAnsi="Calibri"/>
          <w:color w:val="404040"/>
          <w:sz w:val="22"/>
          <w:szCs w:val="22"/>
        </w:rPr>
        <w:t xml:space="preserve">Jessica Reid-Adam, MD — Faculty Educator at Large; Professor – Medical Education, Pediatric</w:t>
      </w:r>
    </w:p>
    <w:p>
      <w:pPr>
        <w:pStyle w:val="ListParagraph"/>
        <w:numPr>
          <w:ilvl w:val="0"/>
          <w:numId w:val="2"/>
        </w:numPr>
        <w:spacing w:after="40" w:before="0" w:line="276"/>
      </w:pPr>
      <w:r>
        <w:rPr>
          <w:rFonts w:ascii="Calibri" w:cs="Calibri" w:eastAsia="Calibri" w:hAnsi="Calibri"/>
          <w:color w:val="404040"/>
          <w:sz w:val="22"/>
          <w:szCs w:val="22"/>
        </w:rPr>
        <w:t xml:space="preserve">Kyunghyun Lee, MD — Faculty Educator at Large; Assistant Professor – Hospital Medicine</w:t>
      </w:r>
    </w:p>
    <w:p>
      <w:pPr>
        <w:pStyle w:val="ListParagraph"/>
        <w:numPr>
          <w:ilvl w:val="0"/>
          <w:numId w:val="2"/>
        </w:numPr>
        <w:spacing w:after="40" w:before="0" w:line="276"/>
      </w:pPr>
      <w:r>
        <w:rPr>
          <w:rFonts w:ascii="Calibri" w:cs="Calibri" w:eastAsia="Calibri" w:hAnsi="Calibri"/>
          <w:color w:val="404040"/>
          <w:sz w:val="22"/>
          <w:szCs w:val="22"/>
        </w:rPr>
        <w:t xml:space="preserve">Sreekala Raghavan, MD — Faculty Educator at Large; Associate Professor – General Internal Medicine, Medical Education</w:t>
      </w:r>
    </w:p>
    <w:p>
      <w:pPr>
        <w:pStyle w:val="ListParagraph"/>
        <w:numPr>
          <w:ilvl w:val="0"/>
          <w:numId w:val="2"/>
        </w:numPr>
        <w:spacing w:after="40" w:before="0" w:line="276"/>
      </w:pPr>
      <w:r>
        <w:rPr>
          <w:rFonts w:ascii="Calibri" w:cs="Calibri" w:eastAsia="Calibri" w:hAnsi="Calibri"/>
          <w:color w:val="404040"/>
          <w:sz w:val="22"/>
          <w:szCs w:val="22"/>
        </w:rPr>
        <w:t xml:space="preserve">Kris Alpi, PhD — Associate Dean for Libraries &amp; Information Sciences</w:t>
      </w:r>
    </w:p>
    <w:p>
      <w:pPr>
        <w:pStyle w:val="ListParagraph"/>
        <w:numPr>
          <w:ilvl w:val="0"/>
          <w:numId w:val="2"/>
        </w:numPr>
        <w:spacing w:after="40" w:before="0" w:line="276"/>
      </w:pPr>
      <w:r>
        <w:rPr>
          <w:rFonts w:ascii="Calibri" w:cs="Calibri" w:eastAsia="Calibri" w:hAnsi="Calibri"/>
          <w:color w:val="404040"/>
          <w:sz w:val="22"/>
          <w:szCs w:val="22"/>
        </w:rPr>
        <w:t xml:space="preserve">Ann-Gel Palermo, DrPH MPH — Diversity, Equity, and Inclusion representative</w:t>
      </w:r>
    </w:p>
    <w:p>
      <w:pPr>
        <w:pStyle w:val="ListParagraph"/>
        <w:numPr>
          <w:ilvl w:val="0"/>
          <w:numId w:val="2"/>
        </w:numPr>
        <w:spacing w:after="40" w:before="0" w:line="276"/>
      </w:pPr>
      <w:r>
        <w:rPr>
          <w:rFonts w:ascii="Calibri" w:cs="Calibri" w:eastAsia="Calibri" w:hAnsi="Calibri"/>
          <w:color w:val="404040"/>
          <w:sz w:val="22"/>
          <w:szCs w:val="22"/>
        </w:rPr>
        <w:t xml:space="preserve">Matthew O'Connell, PhD — MD/PhD representative</w:t>
      </w:r>
    </w:p>
    <w:p>
      <w:pPr>
        <w:pStyle w:val="ListParagraph"/>
        <w:numPr>
          <w:ilvl w:val="0"/>
          <w:numId w:val="2"/>
        </w:numPr>
        <w:spacing w:after="40" w:before="0" w:line="276"/>
      </w:pPr>
      <w:r>
        <w:rPr>
          <w:rFonts w:ascii="Calibri" w:cs="Calibri" w:eastAsia="Calibri" w:hAnsi="Calibri"/>
          <w:color w:val="404040"/>
          <w:sz w:val="22"/>
          <w:szCs w:val="22"/>
        </w:rPr>
        <w:t xml:space="preserve">Brian Coakley, MD — Faculty at Large</w:t>
      </w:r>
    </w:p>
    <w:p>
      <w:pPr>
        <w:pStyle w:val="ListParagraph"/>
        <w:numPr>
          <w:ilvl w:val="0"/>
          <w:numId w:val="2"/>
        </w:numPr>
        <w:spacing w:after="40" w:before="0" w:line="276"/>
      </w:pPr>
      <w:r>
        <w:rPr>
          <w:rFonts w:ascii="Calibri" w:cs="Calibri" w:eastAsia="Calibri" w:hAnsi="Calibri"/>
          <w:color w:val="404040"/>
          <w:sz w:val="22"/>
          <w:szCs w:val="22"/>
        </w:rPr>
        <w:t xml:space="preserve">Mary Rojas, PhD — Chair, Medical Student Research Subcommittee</w:t>
      </w:r>
    </w:p>
    <w:p>
      <w:pPr>
        <w:pStyle w:val="ListParagraph"/>
        <w:numPr>
          <w:ilvl w:val="0"/>
          <w:numId w:val="2"/>
        </w:numPr>
        <w:spacing w:after="40" w:before="0" w:line="276"/>
      </w:pPr>
      <w:r>
        <w:rPr>
          <w:rFonts w:ascii="Calibri" w:cs="Calibri" w:eastAsia="Calibri" w:hAnsi="Calibri"/>
          <w:color w:val="404040"/>
          <w:sz w:val="22"/>
          <w:szCs w:val="22"/>
        </w:rPr>
        <w:t xml:space="preserve">Michael Leitman, MD — Graduate Medical Education representative</w:t>
      </w:r>
    </w:p>
    <w:p>
      <w:pPr>
        <w:pStyle w:val="ListParagraph"/>
        <w:numPr>
          <w:ilvl w:val="0"/>
          <w:numId w:val="2"/>
        </w:numPr>
        <w:spacing w:after="40" w:before="0" w:line="276"/>
      </w:pPr>
      <w:r>
        <w:rPr>
          <w:rFonts w:ascii="Calibri" w:cs="Calibri" w:eastAsia="Calibri" w:hAnsi="Calibri"/>
          <w:color w:val="404040"/>
          <w:sz w:val="22"/>
          <w:szCs w:val="22"/>
        </w:rPr>
        <w:t xml:space="preserve">Alexandros Polydorides, MD PhD — Faculty Curricular Leader (Phase 1); Module Director (Pre-clerkship)</w:t>
      </w:r>
    </w:p>
    <w:p>
      <w:pPr>
        <w:pStyle w:val="ListParagraph"/>
        <w:numPr>
          <w:ilvl w:val="0"/>
          <w:numId w:val="2"/>
        </w:numPr>
        <w:spacing w:after="40" w:before="0" w:line="276"/>
      </w:pPr>
      <w:r>
        <w:rPr>
          <w:rFonts w:ascii="Calibri" w:cs="Calibri" w:eastAsia="Calibri" w:hAnsi="Calibri"/>
          <w:color w:val="404040"/>
          <w:sz w:val="22"/>
          <w:szCs w:val="22"/>
        </w:rPr>
        <w:t xml:space="preserve">Eve Merrill, MD — Faculty Curricular Leader (Phase 2); Clerkship Director</w:t>
      </w:r>
    </w:p>
    <w:p>
      <w:pPr>
        <w:pStyle w:val="ListParagraph"/>
        <w:numPr>
          <w:ilvl w:val="0"/>
          <w:numId w:val="2"/>
        </w:numPr>
        <w:spacing w:after="40" w:before="0" w:line="276"/>
      </w:pPr>
      <w:r>
        <w:rPr>
          <w:rFonts w:ascii="Calibri" w:cs="Calibri" w:eastAsia="Calibri" w:hAnsi="Calibri"/>
          <w:color w:val="404040"/>
          <w:sz w:val="22"/>
          <w:szCs w:val="22"/>
        </w:rPr>
        <w:t xml:space="preserve">Cynthia Abraham, MD — Faculty Curricular Leader (Phase 2); Clerkship Director</w:t>
      </w:r>
    </w:p>
    <w:p>
      <w:pPr>
        <w:pStyle w:val="ListParagraph"/>
        <w:numPr>
          <w:ilvl w:val="0"/>
          <w:numId w:val="2"/>
        </w:numPr>
        <w:spacing w:after="40" w:before="0" w:line="276"/>
      </w:pPr>
      <w:r>
        <w:rPr>
          <w:rFonts w:ascii="Calibri" w:cs="Calibri" w:eastAsia="Calibri" w:hAnsi="Calibri"/>
          <w:color w:val="404040"/>
          <w:sz w:val="22"/>
          <w:szCs w:val="22"/>
        </w:rPr>
        <w:t xml:space="preserve">Craig Katz, MD — Career and Professional Development (CaPD) Advisor</w:t>
      </w:r>
    </w:p>
    <w:p>
      <w:pPr>
        <w:pStyle w:val="ListParagraph"/>
        <w:numPr>
          <w:ilvl w:val="0"/>
          <w:numId w:val="2"/>
        </w:numPr>
        <w:spacing w:after="40" w:before="0" w:line="276"/>
      </w:pPr>
      <w:r>
        <w:rPr>
          <w:rFonts w:ascii="Calibri" w:cs="Calibri" w:eastAsia="Calibri" w:hAnsi="Calibri"/>
          <w:color w:val="404040"/>
          <w:sz w:val="22"/>
          <w:szCs w:val="22"/>
        </w:rPr>
        <w:t xml:space="preserve">Vannita Simma-Chiang, MD — Specialty Advisor; Director of Specialty Advising</w:t>
      </w:r>
    </w:p>
    <w:p>
      <w:pPr>
        <w:pStyle w:val="ListParagraph"/>
        <w:numPr>
          <w:ilvl w:val="0"/>
          <w:numId w:val="2"/>
        </w:numPr>
        <w:spacing w:after="40" w:before="0" w:line="276"/>
      </w:pPr>
      <w:r>
        <w:rPr>
          <w:rFonts w:ascii="Calibri" w:cs="Calibri" w:eastAsia="Calibri" w:hAnsi="Calibri"/>
          <w:color w:val="404040"/>
          <w:sz w:val="22"/>
          <w:szCs w:val="22"/>
        </w:rPr>
        <w:t xml:space="preserve">Alan Zhang — Student Representative, M1 (ASCEND Phase 1)</w:t>
      </w:r>
    </w:p>
    <w:p>
      <w:pPr>
        <w:pStyle w:val="ListParagraph"/>
        <w:numPr>
          <w:ilvl w:val="0"/>
          <w:numId w:val="2"/>
        </w:numPr>
        <w:spacing w:after="40" w:before="0" w:line="276"/>
      </w:pPr>
      <w:r>
        <w:rPr>
          <w:rFonts w:ascii="Calibri" w:cs="Calibri" w:eastAsia="Calibri" w:hAnsi="Calibri"/>
          <w:color w:val="404040"/>
          <w:sz w:val="22"/>
          <w:szCs w:val="22"/>
        </w:rPr>
        <w:t xml:space="preserve">Jamie Frost — Student Representative, M2 (Legacy)</w:t>
      </w:r>
    </w:p>
    <w:p>
      <w:pPr>
        <w:pStyle w:val="ListParagraph"/>
        <w:numPr>
          <w:ilvl w:val="0"/>
          <w:numId w:val="2"/>
        </w:numPr>
        <w:spacing w:after="40" w:before="0" w:line="276"/>
      </w:pPr>
      <w:r>
        <w:rPr>
          <w:rFonts w:ascii="Calibri" w:cs="Calibri" w:eastAsia="Calibri" w:hAnsi="Calibri"/>
          <w:color w:val="404040"/>
          <w:sz w:val="22"/>
          <w:szCs w:val="22"/>
        </w:rPr>
        <w:t xml:space="preserve">Farimata Mbaye — Student Representative, M3 (Legacy)</w:t>
      </w:r>
    </w:p>
    <w:p>
      <w:pPr>
        <w:pStyle w:val="ListParagraph"/>
        <w:numPr>
          <w:ilvl w:val="0"/>
          <w:numId w:val="2"/>
        </w:numPr>
        <w:spacing w:after="40" w:before="0" w:line="276"/>
      </w:pPr>
      <w:r>
        <w:rPr>
          <w:rFonts w:ascii="Calibri" w:cs="Calibri" w:eastAsia="Calibri" w:hAnsi="Calibri"/>
          <w:color w:val="404040"/>
          <w:sz w:val="22"/>
          <w:szCs w:val="22"/>
        </w:rPr>
        <w:t xml:space="preserve">Masih Babagoli — Student Representative, M4 (Legacy)</w:t>
      </w:r>
    </w:p>
    <w:p>
      <w:pPr>
        <w:pStyle w:val="ListParagraph"/>
        <w:numPr>
          <w:ilvl w:val="0"/>
          <w:numId w:val="2"/>
        </w:numPr>
        <w:spacing w:after="40" w:before="0" w:line="276"/>
      </w:pPr>
      <w:r>
        <w:rPr>
          <w:rFonts w:ascii="Calibri" w:cs="Calibri" w:eastAsia="Calibri" w:hAnsi="Calibri"/>
          <w:color w:val="404040"/>
          <w:sz w:val="22"/>
          <w:szCs w:val="22"/>
        </w:rPr>
        <w:t xml:space="preserve">Robert Fallar, PhD — Chair, Assessment and Evaluation Subcommittee</w:t>
      </w:r>
    </w:p>
    <w:p>
      <w:pPr>
        <w:pStyle w:val="ListParagraph"/>
        <w:numPr>
          <w:ilvl w:val="0"/>
          <w:numId w:val="2"/>
        </w:numPr>
        <w:spacing w:after="40" w:before="0" w:line="276"/>
      </w:pPr>
      <w:r>
        <w:rPr>
          <w:rFonts w:ascii="Calibri" w:cs="Calibri" w:eastAsia="Calibri" w:hAnsi="Calibri"/>
          <w:color w:val="404040"/>
          <w:sz w:val="22"/>
          <w:szCs w:val="22"/>
        </w:rPr>
        <w:t xml:space="preserve">Teddy Holzer, MD — Chair, Clinical Curriculum Subcommittee</w:t>
      </w:r>
    </w:p>
    <w:p>
      <w:pPr>
        <w:pStyle w:val="ListParagraph"/>
        <w:numPr>
          <w:ilvl w:val="0"/>
          <w:numId w:val="2"/>
        </w:numPr>
        <w:spacing w:after="40" w:before="0" w:line="276"/>
      </w:pPr>
      <w:r>
        <w:rPr>
          <w:rFonts w:ascii="Calibri" w:cs="Calibri" w:eastAsia="Calibri" w:hAnsi="Calibri"/>
          <w:color w:val="404040"/>
          <w:sz w:val="22"/>
          <w:szCs w:val="22"/>
        </w:rPr>
        <w:t xml:space="preserve">Vasundhara Singh, MD — Chair, Electives Subcommittee</w:t>
      </w:r>
    </w:p>
    <w:p>
      <w:pPr>
        <w:pStyle w:val="ListParagraph"/>
        <w:numPr>
          <w:ilvl w:val="0"/>
          <w:numId w:val="2"/>
        </w:numPr>
        <w:spacing w:after="40" w:before="0" w:line="276"/>
      </w:pPr>
      <w:r>
        <w:rPr>
          <w:rFonts w:ascii="Calibri" w:cs="Calibri" w:eastAsia="Calibri" w:hAnsi="Calibri"/>
          <w:color w:val="404040"/>
          <w:sz w:val="22"/>
          <w:szCs w:val="22"/>
        </w:rPr>
        <w:t xml:space="preserve">Jillian Palmer — Director of Student Success and Progression</w:t>
      </w:r>
    </w:p>
    <w:p>
      <w:pPr>
        <w:pStyle w:val="Heading2"/>
        <w:spacing w:after="120" w:before="240"/>
      </w:pPr>
      <w:r>
        <w:rPr>
          <w:rFonts w:ascii="Calibri" w:cs="Calibri" w:eastAsia="Calibri" w:hAnsi="Calibri"/>
          <w:b/>
          <w:bCs/>
          <w:color w:val="2E5984"/>
          <w:sz w:val="26"/>
          <w:szCs w:val="26"/>
        </w:rPr>
        <w:t xml:space="preserve">Guests/Ex Officio Members Present (Non-Voting)</w:t>
      </w:r>
    </w:p>
    <w:p>
      <w:pPr>
        <w:pStyle w:val="ListParagraph"/>
        <w:numPr>
          <w:ilvl w:val="0"/>
          <w:numId w:val="2"/>
        </w:numPr>
        <w:spacing w:after="40" w:before="0" w:line="276"/>
      </w:pPr>
      <w:r>
        <w:rPr>
          <w:rFonts w:ascii="Calibri" w:cs="Calibri" w:eastAsia="Calibri" w:hAnsi="Calibri"/>
          <w:color w:val="404040"/>
          <w:sz w:val="22"/>
          <w:szCs w:val="22"/>
        </w:rPr>
        <w:t xml:space="preserve">Rainier Soriano, MD — Ex Officio; Sr. Associate Dean for Curricular Affairs</w:t>
      </w:r>
    </w:p>
    <w:p>
      <w:pPr>
        <w:pStyle w:val="ListParagraph"/>
        <w:numPr>
          <w:ilvl w:val="0"/>
          <w:numId w:val="2"/>
        </w:numPr>
        <w:spacing w:after="40" w:before="0" w:line="276"/>
      </w:pPr>
      <w:r>
        <w:rPr>
          <w:rFonts w:ascii="Calibri" w:cs="Calibri" w:eastAsia="Calibri" w:hAnsi="Calibri"/>
          <w:color w:val="404040"/>
          <w:sz w:val="22"/>
          <w:szCs w:val="22"/>
        </w:rPr>
        <w:t xml:space="preserve">David C. Thomas, MD MHPE — Ex Officio; Dean for Medical Education</w:t>
      </w:r>
    </w:p>
    <w:p>
      <w:pPr>
        <w:pStyle w:val="ListParagraph"/>
        <w:numPr>
          <w:ilvl w:val="0"/>
          <w:numId w:val="2"/>
        </w:numPr>
        <w:spacing w:after="40" w:before="0" w:line="276"/>
      </w:pPr>
      <w:r>
        <w:rPr>
          <w:rFonts w:ascii="Calibri" w:cs="Calibri" w:eastAsia="Calibri" w:hAnsi="Calibri"/>
          <w:color w:val="404040"/>
          <w:sz w:val="22"/>
          <w:szCs w:val="22"/>
        </w:rPr>
        <w:t xml:space="preserve">Barbara Masi, PhD — Ex Officio; Director of Quality, Compliance, and Accreditation</w:t>
      </w:r>
    </w:p>
    <w:p>
      <w:pPr>
        <w:pStyle w:val="ListParagraph"/>
        <w:numPr>
          <w:ilvl w:val="0"/>
          <w:numId w:val="2"/>
        </w:numPr>
        <w:spacing w:after="40" w:before="0" w:line="276"/>
      </w:pPr>
      <w:r>
        <w:rPr>
          <w:rFonts w:ascii="Calibri" w:cs="Calibri" w:eastAsia="Calibri" w:hAnsi="Calibri"/>
          <w:color w:val="404040"/>
          <w:sz w:val="22"/>
          <w:szCs w:val="22"/>
        </w:rPr>
        <w:t xml:space="preserve">Valerie Parkas, MD — Ex Officio; Sr. Associate Dean for Admissions &amp; Recruitment; Interim Sr. Associate Dean for Student Affairs</w:t>
      </w:r>
    </w:p>
    <w:p>
      <w:pPr>
        <w:pStyle w:val="Heading2"/>
        <w:spacing w:after="120" w:before="240"/>
      </w:pPr>
      <w:r>
        <w:rPr>
          <w:rFonts w:ascii="Calibri" w:cs="Calibri" w:eastAsia="Calibri" w:hAnsi="Calibri"/>
          <w:b/>
          <w:bCs/>
          <w:color w:val="2E5984"/>
          <w:sz w:val="26"/>
          <w:szCs w:val="26"/>
        </w:rPr>
        <w:t xml:space="preserve">CA Leadership Present (Non-Voting)</w:t>
      </w:r>
    </w:p>
    <w:p>
      <w:pPr>
        <w:spacing w:after="120" w:before="0" w:line="276"/>
      </w:pPr>
      <w:r>
        <w:rPr>
          <w:rFonts w:ascii="Calibri" w:cs="Calibri" w:eastAsia="Calibri" w:hAnsi="Calibri"/>
          <w:i/>
          <w:iCs/>
          <w:color w:val="404040"/>
          <w:sz w:val="22"/>
          <w:szCs w:val="22"/>
        </w:rPr>
        <w:t xml:space="preserve">None.</w:t>
      </w:r>
    </w:p>
    <w:p>
      <w:pPr>
        <w:pStyle w:val="Heading1"/>
        <w:pBdr>
          <w:bottom w:val="single" w:color="1F3A5F" w:sz="8" w:space="4"/>
        </w:pBdr>
        <w:spacing w:after="160" w:before="320"/>
      </w:pPr>
      <w:r>
        <w:rPr>
          <w:rFonts w:ascii="Calibri" w:cs="Calibri" w:eastAsia="Calibri" w:hAnsi="Calibri"/>
          <w:b/>
          <w:bCs/>
          <w:color w:val="1F3A5F"/>
          <w:sz w:val="28"/>
          <w:szCs w:val="28"/>
        </w:rPr>
        <w:t xml:space="preserve">2. Call to Order, Quorum, and Approval of Agenda</w:t>
      </w:r>
    </w:p>
    <w:p>
      <w:pPr>
        <w:pStyle w:val="Heading2"/>
        <w:spacing w:after="120" w:before="240"/>
      </w:pPr>
      <w:r>
        <w:rPr>
          <w:rFonts w:ascii="Calibri" w:cs="Calibri" w:eastAsia="Calibri" w:hAnsi="Calibri"/>
          <w:b/>
          <w:bCs/>
          <w:color w:val="2E5984"/>
          <w:sz w:val="26"/>
          <w:szCs w:val="26"/>
        </w:rPr>
        <w:t xml:space="preserve">Call to Order</w:t>
      </w:r>
    </w:p>
    <w:p>
      <w:pPr>
        <w:spacing w:after="120" w:before="0" w:line="276"/>
      </w:pPr>
      <w:r>
        <w:rPr>
          <w:rFonts w:ascii="Calibri" w:cs="Calibri" w:eastAsia="Calibri" w:hAnsi="Calibri"/>
          <w:color w:val="404040"/>
          <w:sz w:val="22"/>
          <w:szCs w:val="22"/>
        </w:rPr>
        <w:t xml:space="preserve">The meeting was convened on Zoom and chaired by Dr. Michelle Francis. The Chair noted she was attending from her phone, briefly relocating from her office, and asked Dr. Rainier P. Soriano to support the visual count of voting members for the minutes-approval vote since she could not see all participants from her phone.</w:t>
      </w:r>
    </w:p>
    <w:p>
      <w:pPr>
        <w:pStyle w:val="Heading2"/>
        <w:spacing w:after="120" w:before="240"/>
      </w:pPr>
      <w:r>
        <w:rPr>
          <w:rFonts w:ascii="Calibri" w:cs="Calibri" w:eastAsia="Calibri" w:hAnsi="Calibri"/>
          <w:b/>
          <w:bCs/>
          <w:color w:val="2E5984"/>
          <w:sz w:val="26"/>
          <w:szCs w:val="26"/>
        </w:rPr>
        <w:t xml:space="preserve">Quorum Determination</w:t>
      </w:r>
    </w:p>
    <w:p>
      <w:pPr>
        <w:spacing w:after="120" w:before="0" w:line="276"/>
      </w:pPr>
      <w:r>
        <w:rPr>
          <w:rFonts w:ascii="Calibri" w:cs="Calibri" w:eastAsia="Calibri" w:hAnsi="Calibri"/>
          <w:color w:val="404040"/>
          <w:sz w:val="22"/>
          <w:szCs w:val="22"/>
        </w:rPr>
        <w:t xml:space="preserve">Quorum was confirmed on the record by the Chair at the call to order, with Dr. Soriano assisting with the visual count. A specific voting-member count was not enumerated in the transcript.</w:t>
      </w:r>
    </w:p>
    <w:p>
      <w:pPr>
        <w:pStyle w:val="Heading2"/>
        <w:spacing w:after="120" w:before="240"/>
      </w:pPr>
      <w:r>
        <w:rPr>
          <w:rFonts w:ascii="Calibri" w:cs="Calibri" w:eastAsia="Calibri" w:hAnsi="Calibri"/>
          <w:b/>
          <w:bCs/>
          <w:color w:val="2E5984"/>
          <w:sz w:val="26"/>
          <w:szCs w:val="26"/>
        </w:rPr>
        <w:t xml:space="preserve">Approval of Agenda</w:t>
      </w:r>
    </w:p>
    <w:p>
      <w:pPr>
        <w:spacing w:after="120" w:before="0" w:line="276"/>
      </w:pPr>
      <w:r>
        <w:rPr>
          <w:rFonts w:ascii="Calibri" w:cs="Calibri" w:eastAsia="Calibri" w:hAnsi="Calibri"/>
          <w:color w:val="404040"/>
          <w:sz w:val="22"/>
          <w:szCs w:val="22"/>
        </w:rPr>
        <w:t xml:space="preserve">The agenda comprised approval of the prior EOC meeting minutes followed by the Year 1 / Year 2 (Phase 1) Legacy Curriculum Review presented by Dr. Rainier P. Soriano. The Chair confirmed the agenda; no modifications were proposed.</w:t>
      </w:r>
    </w:p>
    <w:p>
      <w:pPr>
        <w:pStyle w:val="Heading2"/>
        <w:spacing w:after="120" w:before="240"/>
      </w:pPr>
      <w:r>
        <w:rPr>
          <w:rFonts w:ascii="Calibri" w:cs="Calibri" w:eastAsia="Calibri" w:hAnsi="Calibri"/>
          <w:b/>
          <w:bCs/>
          <w:color w:val="2E5984"/>
          <w:sz w:val="26"/>
          <w:szCs w:val="26"/>
        </w:rPr>
        <w:t xml:space="preserve">Approval of Prior Meeting Minutes</w:t>
      </w:r>
    </w:p>
    <w:p>
      <w:pPr>
        <w:spacing w:after="120" w:before="0" w:line="276"/>
      </w:pPr>
      <w:r>
        <w:rPr>
          <w:rFonts w:ascii="Calibri" w:cs="Calibri" w:eastAsia="Calibri" w:hAnsi="Calibri"/>
          <w:color w:val="404040"/>
          <w:sz w:val="22"/>
          <w:szCs w:val="22"/>
        </w:rPr>
        <w:t xml:space="preserve">The Chair presented the minutes from the prior EOC meeting (July 26, 2024) for approval. The Chair noted she could not see all participants from her phone and asked members to raise their hand or signal in chat. Dr. Soriano assisted with the count. No objections were raised.</w:t>
      </w:r>
    </w:p>
    <w:p>
      <w:pPr>
        <w:spacing w:after="120" w:before="0" w:line="276"/>
      </w:pPr>
      <w:r>
        <w:rPr>
          <w:rFonts w:ascii="Calibri" w:cs="Calibri" w:eastAsia="Calibri" w:hAnsi="Calibri"/>
          <w:b/>
          <w:bCs/>
          <w:color w:val="404040"/>
          <w:sz w:val="22"/>
          <w:szCs w:val="22"/>
        </w:rPr>
        <w:t xml:space="preserve">Outcome:</w:t>
      </w:r>
      <w:r>
        <w:rPr>
          <w:rFonts w:ascii="Calibri" w:cs="Calibri" w:eastAsia="Calibri" w:hAnsi="Calibri"/>
          <w:color w:val="404040"/>
          <w:sz w:val="22"/>
          <w:szCs w:val="22"/>
        </w:rPr>
        <w:t xml:space="preserve"> Minutes from the July 26, 2024 EOC meeting were approved by unanimous consent.</w:t>
      </w:r>
    </w:p>
    <w:p>
      <w:pPr>
        <w:pStyle w:val="Heading1"/>
        <w:pBdr>
          <w:bottom w:val="single" w:color="1F3A5F" w:sz="8" w:space="4"/>
        </w:pBdr>
        <w:spacing w:after="160" w:before="320"/>
      </w:pPr>
      <w:r>
        <w:rPr>
          <w:rFonts w:ascii="Calibri" w:cs="Calibri" w:eastAsia="Calibri" w:hAnsi="Calibri"/>
          <w:b/>
          <w:bCs/>
          <w:color w:val="1F3A5F"/>
          <w:sz w:val="28"/>
          <w:szCs w:val="28"/>
        </w:rPr>
        <w:t xml:space="preserve">3. Subcommittee Reports</w:t>
      </w:r>
    </w:p>
    <w:p>
      <w:pPr>
        <w:spacing w:after="120" w:before="0" w:line="276"/>
      </w:pPr>
      <w:r>
        <w:rPr>
          <w:rFonts w:ascii="Calibri" w:cs="Calibri" w:eastAsia="Calibri" w:hAnsi="Calibri"/>
          <w:color w:val="404040"/>
          <w:sz w:val="22"/>
          <w:szCs w:val="22"/>
        </w:rPr>
        <w:t xml:space="preserve">At the close of the meeting, the Chair invited subcommittee chairs to report out. Dr. Staci Leisman (Course Directors Subcommittee) indicated the subcommittee workstream was ongoing without items requiring committee action. Dr. Teddy Holzer (Clinical Curriculum Subcommittee) was briefly in the meeting space but had a concurrent meeting commitment and did not report. No formal subcommittee report-outs were received.</w:t>
      </w:r>
    </w:p>
    <w:p>
      <w:pPr>
        <w:pStyle w:val="Heading1"/>
        <w:pBdr>
          <w:bottom w:val="single" w:color="1F3A5F" w:sz="8" w:space="4"/>
        </w:pBdr>
        <w:spacing w:after="160" w:before="320"/>
      </w:pPr>
      <w:r>
        <w:rPr>
          <w:rFonts w:ascii="Calibri" w:cs="Calibri" w:eastAsia="Calibri" w:hAnsi="Calibri"/>
          <w:b/>
          <w:bCs/>
          <w:color w:val="1F3A5F"/>
          <w:sz w:val="28"/>
          <w:szCs w:val="28"/>
        </w:rPr>
        <w:t xml:space="preserve">4. New Business</w:t>
      </w:r>
    </w:p>
    <w:p>
      <w:pPr>
        <w:spacing w:after="120" w:before="0" w:line="276"/>
      </w:pPr>
      <w:r>
        <w:rPr>
          <w:rFonts w:ascii="Calibri" w:cs="Calibri" w:eastAsia="Calibri" w:hAnsi="Calibri"/>
          <w:color w:val="404040"/>
          <w:sz w:val="22"/>
          <w:szCs w:val="22"/>
        </w:rPr>
        <w:t xml:space="preserve">Not raised at this meeting.</w:t>
      </w:r>
    </w:p>
    <w:p>
      <w:pPr>
        <w:pStyle w:val="Heading1"/>
        <w:pBdr>
          <w:bottom w:val="single" w:color="1F3A5F" w:sz="8" w:space="4"/>
        </w:pBdr>
        <w:spacing w:after="160" w:before="320"/>
      </w:pPr>
      <w:r>
        <w:rPr>
          <w:rFonts w:ascii="Calibri" w:cs="Calibri" w:eastAsia="Calibri" w:hAnsi="Calibri"/>
          <w:b/>
          <w:bCs/>
          <w:color w:val="1F3A5F"/>
          <w:sz w:val="28"/>
          <w:szCs w:val="28"/>
        </w:rPr>
        <w:t xml:space="preserve">5. Review of Prior Action Items</w:t>
      </w:r>
    </w:p>
    <w:p>
      <w:pPr>
        <w:spacing w:after="120" w:before="0" w:line="276"/>
      </w:pPr>
      <w:r>
        <w:rPr>
          <w:rFonts w:ascii="Calibri" w:cs="Calibri" w:eastAsia="Calibri" w:hAnsi="Calibri"/>
          <w:color w:val="404040"/>
          <w:sz w:val="22"/>
          <w:szCs w:val="22"/>
        </w:rPr>
        <w:t xml:space="preserve">Not raised formally at this meeting. Items from the July 26, 2024 meeting (Academic Integrity Policy implementation; CCM/POM/APEX monitoring) remain open and will be revisited at future EOC meetings.</w:t>
      </w:r>
    </w:p>
    <w:p>
      <w:pPr>
        <w:pStyle w:val="Heading1"/>
        <w:pBdr>
          <w:bottom w:val="single" w:color="1F3A5F" w:sz="8" w:space="4"/>
        </w:pBdr>
        <w:spacing w:after="160" w:before="320"/>
      </w:pPr>
      <w:r>
        <w:rPr>
          <w:rFonts w:ascii="Calibri" w:cs="Calibri" w:eastAsia="Calibri" w:hAnsi="Calibri"/>
          <w:b/>
          <w:bCs/>
          <w:color w:val="1F3A5F"/>
          <w:sz w:val="28"/>
          <w:szCs w:val="28"/>
        </w:rPr>
        <w:t xml:space="preserve">6. Agenda Items — Review, Discussion, and Voting</w:t>
      </w:r>
    </w:p>
    <w:p>
      <w:pPr>
        <w:pStyle w:val="Heading2"/>
        <w:spacing w:after="120" w:before="280"/>
      </w:pPr>
      <w:r>
        <w:rPr>
          <w:rFonts w:ascii="Calibri" w:cs="Calibri" w:eastAsia="Calibri" w:hAnsi="Calibri"/>
          <w:b/>
          <w:bCs/>
          <w:color w:val="2E5984"/>
          <w:sz w:val="26"/>
          <w:szCs w:val="26"/>
        </w:rPr>
        <w:t xml:space="preserve">6.1  Approval of Minutes — July 26, 2024 EOC Meeting</w:t>
      </w:r>
    </w:p>
    <w:p>
      <w:pPr>
        <w:spacing w:after="40" w:before="60"/>
      </w:pPr>
      <w:r>
        <w:rPr>
          <w:rFonts w:ascii="Calibri" w:cs="Calibri" w:eastAsia="Calibri" w:hAnsi="Calibri"/>
          <w:b/>
          <w:bCs/>
          <w:color w:val="1F3A5F"/>
          <w:sz w:val="22"/>
          <w:szCs w:val="22"/>
        </w:rPr>
        <w:t xml:space="preserve">Category: </w:t>
      </w:r>
      <w:r>
        <w:rPr>
          <w:rFonts w:ascii="Calibri" w:cs="Calibri" w:eastAsia="Calibri" w:hAnsi="Calibri"/>
          <w:b/>
          <w:bCs/>
          <w:color w:val="404040"/>
          <w:sz w:val="22"/>
          <w:szCs w:val="22"/>
        </w:rPr>
        <w:t xml:space="preserve">[VOTING ITEM]</w:t>
      </w:r>
    </w:p>
    <w:p>
      <w:pPr>
        <w:spacing w:after="40" w:before="0"/>
      </w:pPr>
      <w:r>
        <w:rPr>
          <w:rFonts w:ascii="Calibri" w:cs="Calibri" w:eastAsia="Calibri" w:hAnsi="Calibri"/>
          <w:b/>
          <w:bCs/>
          <w:color w:val="1F3A5F"/>
          <w:sz w:val="22"/>
          <w:szCs w:val="22"/>
        </w:rPr>
        <w:t xml:space="preserve">Presenter: </w:t>
      </w:r>
      <w:r>
        <w:rPr>
          <w:rFonts w:ascii="Calibri" w:cs="Calibri" w:eastAsia="Calibri" w:hAnsi="Calibri"/>
          <w:color w:val="404040"/>
          <w:sz w:val="22"/>
          <w:szCs w:val="22"/>
        </w:rPr>
        <w:t xml:space="preserve">Michelle Francis, MD (Chair); Rainier P. Soriano, MD (count assist)</w:t>
      </w:r>
    </w:p>
    <w:p>
      <w:pPr>
        <w:spacing w:after="120" w:before="0" w:line="276"/>
      </w:pPr>
      <w:r>
        <w:rPr>
          <w:rFonts w:ascii="Calibri" w:cs="Calibri" w:eastAsia="Calibri" w:hAnsi="Calibri"/>
          <w:i/>
          <w:iCs/>
          <w:color w:val="404040"/>
          <w:sz w:val="22"/>
          <w:szCs w:val="22"/>
        </w:rPr>
        <w:t xml:space="preserve">See Section 2 above for the disposition; minutes were approved by unanimous consent.</w:t>
      </w:r>
    </w:p>
    <w:p>
      <w:pPr>
        <w:pStyle w:val="Heading3"/>
        <w:spacing w:after="80" w:before="180"/>
      </w:pPr>
      <w:r>
        <w:rPr>
          <w:rFonts w:ascii="Calibri" w:cs="Calibri" w:eastAsia="Calibri" w:hAnsi="Calibri"/>
          <w:b/>
          <w:bCs/>
          <w:i/>
          <w:iCs/>
          <w:color w:val="404040"/>
          <w:sz w:val="22"/>
          <w:szCs w:val="22"/>
        </w:rPr>
        <w:t xml:space="preserve">Vote — Approval of Minutes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40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spacing w:after="40" w:before="40" w:line="276"/>
            </w:pPr>
            <w:r>
              <w:rPr>
                <w:rFonts w:ascii="Calibri" w:cs="Calibri" w:eastAsia="Calibri" w:hAnsi="Calibri"/>
                <w:b/>
                <w:bCs/>
                <w:color w:val="1F3A5F"/>
                <w:sz w:val="22"/>
                <w:szCs w:val="22"/>
              </w:rPr>
              <w:t xml:space="preserve">Motion</w:t>
            </w:r>
          </w:p>
        </w:tc>
        <w:tc>
          <w:tcPr>
            <w:tcW w:type="dxa" w:w="696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spacing w:after="40" w:before="40" w:line="276"/>
            </w:pPr>
            <w:r>
              <w:rPr>
                <w:rFonts w:ascii="Calibri" w:cs="Calibri" w:eastAsia="Calibri" w:hAnsi="Calibri"/>
                <w:color w:val="404040"/>
                <w:sz w:val="22"/>
                <w:szCs w:val="22"/>
              </w:rPr>
              <w:t xml:space="preserve">To approve the minutes from the July 26, 2024 EOC meeting as circulated.</w:t>
            </w:r>
          </w:p>
        </w:tc>
      </w:tr>
      <w:tr>
        <w:tc>
          <w:tcPr>
            <w:tcW w:type="dxa" w:w="240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spacing w:after="40" w:before="40" w:line="276"/>
            </w:pPr>
            <w:r>
              <w:rPr>
                <w:rFonts w:ascii="Calibri" w:cs="Calibri" w:eastAsia="Calibri" w:hAnsi="Calibri"/>
                <w:b/>
                <w:bCs/>
                <w:color w:val="1F3A5F"/>
                <w:sz w:val="22"/>
                <w:szCs w:val="22"/>
              </w:rPr>
              <w:t xml:space="preserve">Moved by</w:t>
            </w:r>
          </w:p>
        </w:tc>
        <w:tc>
          <w:tcPr>
            <w:tcW w:type="dxa" w:w="696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spacing w:after="40" w:before="40" w:line="276"/>
            </w:pPr>
            <w:r>
              <w:rPr>
                <w:rFonts w:ascii="Calibri" w:cs="Calibri" w:eastAsia="Calibri" w:hAnsi="Calibri"/>
                <w:color w:val="404040"/>
                <w:sz w:val="22"/>
                <w:szCs w:val="22"/>
              </w:rPr>
              <w:t xml:space="preserve">Presented by the Chair on the standing agenda.</w:t>
            </w:r>
          </w:p>
        </w:tc>
      </w:tr>
      <w:tr>
        <w:tc>
          <w:tcPr>
            <w:tcW w:type="dxa" w:w="240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spacing w:after="40" w:before="40" w:line="276"/>
            </w:pPr>
            <w:r>
              <w:rPr>
                <w:rFonts w:ascii="Calibri" w:cs="Calibri" w:eastAsia="Calibri" w:hAnsi="Calibri"/>
                <w:b/>
                <w:bCs/>
                <w:color w:val="1F3A5F"/>
                <w:sz w:val="22"/>
                <w:szCs w:val="22"/>
              </w:rPr>
              <w:t xml:space="preserve">Seconded by</w:t>
            </w:r>
          </w:p>
        </w:tc>
        <w:tc>
          <w:tcPr>
            <w:tcW w:type="dxa" w:w="696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spacing w:after="40" w:before="40" w:line="276"/>
            </w:pPr>
            <w:r>
              <w:rPr>
                <w:rFonts w:ascii="Calibri" w:cs="Calibri" w:eastAsia="Calibri" w:hAnsi="Calibri"/>
                <w:color w:val="404040"/>
                <w:sz w:val="22"/>
                <w:szCs w:val="22"/>
              </w:rPr>
              <w:t xml:space="preserve">Not named on the record.</w:t>
            </w:r>
          </w:p>
        </w:tc>
      </w:tr>
      <w:tr>
        <w:tc>
          <w:tcPr>
            <w:tcW w:type="dxa" w:w="240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spacing w:after="40" w:before="40" w:line="276"/>
            </w:pPr>
            <w:r>
              <w:rPr>
                <w:rFonts w:ascii="Calibri" w:cs="Calibri" w:eastAsia="Calibri" w:hAnsi="Calibri"/>
                <w:b/>
                <w:bCs/>
                <w:color w:val="1F3A5F"/>
                <w:sz w:val="22"/>
                <w:szCs w:val="22"/>
              </w:rPr>
              <w:t xml:space="preserve">In favor</w:t>
            </w:r>
          </w:p>
        </w:tc>
        <w:tc>
          <w:tcPr>
            <w:tcW w:type="dxa" w:w="696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spacing w:after="40" w:before="40" w:line="276"/>
            </w:pPr>
            <w:r>
              <w:rPr>
                <w:rFonts w:ascii="Calibri" w:cs="Calibri" w:eastAsia="Calibri" w:hAnsi="Calibri"/>
                <w:color w:val="404040"/>
                <w:sz w:val="22"/>
                <w:szCs w:val="22"/>
              </w:rPr>
              <w:t xml:space="preserve">Approved by unanimous consent — Chair invited objections; none were raised.</w:t>
            </w:r>
          </w:p>
        </w:tc>
      </w:tr>
      <w:tr>
        <w:tc>
          <w:tcPr>
            <w:tcW w:type="dxa" w:w="240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spacing w:after="40" w:before="40" w:line="276"/>
            </w:pPr>
            <w:r>
              <w:rPr>
                <w:rFonts w:ascii="Calibri" w:cs="Calibri" w:eastAsia="Calibri" w:hAnsi="Calibri"/>
                <w:b/>
                <w:bCs/>
                <w:color w:val="1F3A5F"/>
                <w:sz w:val="22"/>
                <w:szCs w:val="22"/>
              </w:rPr>
              <w:t xml:space="preserve">Opposed</w:t>
            </w:r>
          </w:p>
        </w:tc>
        <w:tc>
          <w:tcPr>
            <w:tcW w:type="dxa" w:w="696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spacing w:after="40" w:before="40" w:line="276"/>
            </w:pPr>
            <w:r>
              <w:rPr>
                <w:rFonts w:ascii="Calibri" w:cs="Calibri" w:eastAsia="Calibri" w:hAnsi="Calibri"/>
                <w:color w:val="404040"/>
                <w:sz w:val="22"/>
                <w:szCs w:val="22"/>
              </w:rPr>
              <w:t xml:space="preserve">None raised when invited.</w:t>
            </w:r>
          </w:p>
        </w:tc>
      </w:tr>
      <w:tr>
        <w:tc>
          <w:tcPr>
            <w:tcW w:type="dxa" w:w="240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spacing w:after="40" w:before="40" w:line="276"/>
            </w:pPr>
            <w:r>
              <w:rPr>
                <w:rFonts w:ascii="Calibri" w:cs="Calibri" w:eastAsia="Calibri" w:hAnsi="Calibri"/>
                <w:b/>
                <w:bCs/>
                <w:color w:val="1F3A5F"/>
                <w:sz w:val="22"/>
                <w:szCs w:val="22"/>
              </w:rPr>
              <w:t xml:space="preserve">Abstentions</w:t>
            </w:r>
          </w:p>
        </w:tc>
        <w:tc>
          <w:tcPr>
            <w:tcW w:type="dxa" w:w="696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spacing w:after="40" w:before="40" w:line="276"/>
            </w:pPr>
            <w:r>
              <w:rPr>
                <w:rFonts w:ascii="Calibri" w:cs="Calibri" w:eastAsia="Calibri" w:hAnsi="Calibri"/>
                <w:color w:val="404040"/>
                <w:sz w:val="22"/>
                <w:szCs w:val="22"/>
              </w:rPr>
              <w:t xml:space="preserve">None recorded.</w:t>
            </w:r>
          </w:p>
        </w:tc>
      </w:tr>
      <w:tr>
        <w:tc>
          <w:tcPr>
            <w:tcW w:type="dxa" w:w="240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spacing w:after="40" w:before="40" w:line="276"/>
            </w:pPr>
            <w:r>
              <w:rPr>
                <w:rFonts w:ascii="Calibri" w:cs="Calibri" w:eastAsia="Calibri" w:hAnsi="Calibri"/>
                <w:b/>
                <w:bCs/>
                <w:color w:val="1F3A5F"/>
                <w:sz w:val="22"/>
                <w:szCs w:val="22"/>
              </w:rPr>
              <w:t xml:space="preserve">Outcome</w:t>
            </w:r>
          </w:p>
        </w:tc>
        <w:tc>
          <w:tcPr>
            <w:tcW w:type="dxa" w:w="696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spacing w:after="40" w:before="40" w:line="276"/>
            </w:pPr>
            <w:r>
              <w:rPr>
                <w:rFonts w:ascii="Calibri" w:cs="Calibri" w:eastAsia="Calibri" w:hAnsi="Calibri"/>
                <w:b/>
                <w:bCs/>
                <w:color w:val="404040"/>
                <w:sz w:val="22"/>
                <w:szCs w:val="22"/>
              </w:rPr>
              <w:t xml:space="preserve">Motion carried — July 26, 2024 EOC minutes approved by unanimous consent.</w:t>
            </w:r>
          </w:p>
        </w:tc>
      </w:tr>
    </w:tbl>
    <w:p>
      <w:pPr>
        <w:pStyle w:val="Heading3"/>
        <w:spacing w:after="80" w:before="180"/>
      </w:pPr>
      <w:r>
        <w:rPr>
          <w:rFonts w:ascii="Calibri" w:cs="Calibri" w:eastAsia="Calibri" w:hAnsi="Calibri"/>
          <w:b/>
          <w:bCs/>
          <w:i/>
          <w:iCs/>
          <w:color w:val="404040"/>
          <w:sz w:val="22"/>
          <w:szCs w:val="22"/>
        </w:rPr>
        <w:t xml:space="preserve">Outcome and Next Steps</w:t>
      </w:r>
    </w:p>
    <w:p>
      <w:pPr>
        <w:spacing w:after="120" w:before="0" w:line="276"/>
      </w:pPr>
      <w:r>
        <w:rPr>
          <w:rFonts w:ascii="Calibri" w:cs="Calibri" w:eastAsia="Calibri" w:hAnsi="Calibri"/>
          <w:b/>
          <w:bCs/>
          <w:color w:val="404040"/>
          <w:sz w:val="22"/>
          <w:szCs w:val="22"/>
        </w:rPr>
        <w:t xml:space="preserve">Approved by unanimous consent.</w:t>
      </w:r>
      <w:r>
        <w:rPr>
          <w:rFonts w:ascii="Calibri" w:cs="Calibri" w:eastAsia="Calibri" w:hAnsi="Calibri"/>
          <w:color w:val="404040"/>
          <w:sz w:val="22"/>
          <w:szCs w:val="22"/>
        </w:rPr>
        <w:t xml:space="preserve"> Minutes filed as part of the EOC record.</w:t>
      </w:r>
    </w:p>
    <w:p>
      <w:pPr>
        <w:pStyle w:val="Heading2"/>
        <w:spacing w:after="120" w:before="280"/>
      </w:pPr>
      <w:r>
        <w:rPr>
          <w:rFonts w:ascii="Calibri" w:cs="Calibri" w:eastAsia="Calibri" w:hAnsi="Calibri"/>
          <w:b/>
          <w:bCs/>
          <w:color w:val="2E5984"/>
          <w:sz w:val="26"/>
          <w:szCs w:val="26"/>
        </w:rPr>
        <w:t xml:space="preserve">6.2  Year 1 / Year 2 (Phase 1) Legacy Curriculum Review</w:t>
      </w:r>
    </w:p>
    <w:p>
      <w:pPr>
        <w:spacing w:after="40" w:before="60"/>
      </w:pPr>
      <w:r>
        <w:rPr>
          <w:rFonts w:ascii="Calibri" w:cs="Calibri" w:eastAsia="Calibri" w:hAnsi="Calibri"/>
          <w:b/>
          <w:bCs/>
          <w:color w:val="1F3A5F"/>
          <w:sz w:val="22"/>
          <w:szCs w:val="22"/>
        </w:rPr>
        <w:t xml:space="preserve">Category: </w:t>
      </w:r>
      <w:r>
        <w:rPr>
          <w:rFonts w:ascii="Calibri" w:cs="Calibri" w:eastAsia="Calibri" w:hAnsi="Calibri"/>
          <w:b/>
          <w:bCs/>
          <w:color w:val="404040"/>
          <w:sz w:val="22"/>
          <w:szCs w:val="22"/>
        </w:rPr>
        <w:t xml:space="preserve">[PRESENTATION]</w:t>
      </w:r>
    </w:p>
    <w:p>
      <w:pPr>
        <w:spacing w:after="40" w:before="0"/>
      </w:pPr>
      <w:r>
        <w:rPr>
          <w:rFonts w:ascii="Calibri" w:cs="Calibri" w:eastAsia="Calibri" w:hAnsi="Calibri"/>
          <w:b/>
          <w:bCs/>
          <w:color w:val="1F3A5F"/>
          <w:sz w:val="22"/>
          <w:szCs w:val="22"/>
        </w:rPr>
        <w:t xml:space="preserve">Presenter: </w:t>
      </w:r>
      <w:r>
        <w:rPr>
          <w:rFonts w:ascii="Calibri" w:cs="Calibri" w:eastAsia="Calibri" w:hAnsi="Calibri"/>
          <w:color w:val="404040"/>
          <w:sz w:val="22"/>
          <w:szCs w:val="22"/>
        </w:rPr>
        <w:t xml:space="preserve">Rainier P. Soriano, MD (Sr. Associate Dean for Curricular Affairs)</w:t>
      </w:r>
    </w:p>
    <w:p>
      <w:pPr>
        <w:spacing w:after="120" w:before="0"/>
      </w:pPr>
      <w:r>
        <w:rPr>
          <w:rFonts w:ascii="Calibri" w:cs="Calibri" w:eastAsia="Calibri" w:hAnsi="Calibri"/>
          <w:b/>
          <w:bCs/>
          <w:color w:val="1F3A5F"/>
          <w:sz w:val="22"/>
          <w:szCs w:val="22"/>
        </w:rPr>
        <w:t xml:space="preserve">LCME Elements: </w:t>
      </w:r>
      <w:r>
        <w:rPr>
          <w:rFonts w:ascii="Calibri" w:cs="Calibri" w:eastAsia="Calibri" w:hAnsi="Calibri"/>
          <w:color w:val="404040"/>
          <w:sz w:val="22"/>
          <w:szCs w:val="22"/>
        </w:rPr>
        <w:t xml:space="preserve">8.3 — Curricular Design, Review, Revision, Improvement (focus element); 8.1 — Curricular Management; 8.4 — Program Evaluation; 6.1 — Program and Learning Objectives (MEPO alignment); 7.0 — Curricular Content; 9.4 — Assessment System</w:t>
      </w:r>
    </w:p>
    <w:p>
      <w:pPr>
        <w:pStyle w:val="Heading3"/>
        <w:spacing w:after="80" w:before="180"/>
      </w:pPr>
      <w:r>
        <w:rPr>
          <w:rFonts w:ascii="Calibri" w:cs="Calibri" w:eastAsia="Calibri" w:hAnsi="Calibri"/>
          <w:b/>
          <w:bCs/>
          <w:i/>
          <w:iCs/>
          <w:color w:val="404040"/>
          <w:sz w:val="22"/>
          <w:szCs w:val="22"/>
        </w:rPr>
        <w:t xml:space="preserve">Framing — Phase Review Cadence</w:t>
      </w:r>
    </w:p>
    <w:p>
      <w:pPr>
        <w:spacing w:after="120" w:before="0" w:line="276"/>
      </w:pPr>
      <w:r>
        <w:rPr>
          <w:rFonts w:ascii="Calibri" w:cs="Calibri" w:eastAsia="Calibri" w:hAnsi="Calibri"/>
          <w:color w:val="404040"/>
          <w:sz w:val="22"/>
          <w:szCs w:val="22"/>
        </w:rPr>
        <w:t xml:space="preserve">Dr. Rainier P. Soriano presented the Year 1 / Year 2 (Phase 1) Legacy Curriculum Review — the first of the AY 2024–2025 Legacy curriculum reviews under LCME Standard 8 Element 8.3. Dr. Soriano emphasized that phase reviews and the full curriculum review constitute the institution's most important governance touchpoints under LCME, both for the school's own CQI and for the documentation the LCME site visitors look for. Dr. Soriano introduced the framing that two additional Legacy reviews would follow before end of calendar year 2024: a Year 3 / Year 4 (Phase 2) review and a Whole Curriculum (4-year) review.</w:t>
      </w:r>
    </w:p>
    <w:p>
      <w:pPr>
        <w:pStyle w:val="Heading3"/>
        <w:spacing w:after="80" w:before="180"/>
      </w:pPr>
      <w:r>
        <w:rPr>
          <w:rFonts w:ascii="Calibri" w:cs="Calibri" w:eastAsia="Calibri" w:hAnsi="Calibri"/>
          <w:b/>
          <w:bCs/>
          <w:i/>
          <w:iCs/>
          <w:color w:val="404040"/>
          <w:sz w:val="22"/>
          <w:szCs w:val="22"/>
        </w:rPr>
        <w:t xml:space="preserve">Phase 1 Curricular Restructuring — Anatomy and MCGF</w:t>
      </w:r>
    </w:p>
    <w:p>
      <w:pPr>
        <w:spacing w:after="120" w:before="0" w:line="276"/>
      </w:pPr>
      <w:r>
        <w:rPr>
          <w:rFonts w:ascii="Calibri" w:cs="Calibri" w:eastAsia="Calibri" w:hAnsi="Calibri"/>
          <w:color w:val="404040"/>
          <w:sz w:val="22"/>
          <w:szCs w:val="22"/>
        </w:rPr>
        <w:t xml:space="preserve">Dr. Soriano highlighted EOC-directed restructuring work in two Phase 1 courses identified as priority improvement areas in prior reviews: Anatomy (with the appointment of Dr. Trevor as Anatomy Course Director) and MCGF (Molecular, Cellular, Genetic Foundations). Dr. Soriano noted that the impact of these restructurings will not be visible in the next AAMC Graduation Questionnaire (GQ) cycle (since GQ reflects students who completed the prior version of the courses); near-term outcome evaluation will rely on end-of-course and end-of-module evaluations as the primary triangulation source.</w:t>
      </w:r>
    </w:p>
    <w:p>
      <w:pPr>
        <w:pStyle w:val="Heading3"/>
        <w:spacing w:after="80" w:before="180"/>
      </w:pPr>
      <w:r>
        <w:rPr>
          <w:rFonts w:ascii="Calibri" w:cs="Calibri" w:eastAsia="Calibri" w:hAnsi="Calibri"/>
          <w:b/>
          <w:bCs/>
          <w:i/>
          <w:iCs/>
          <w:color w:val="404040"/>
          <w:sz w:val="22"/>
          <w:szCs w:val="22"/>
        </w:rPr>
        <w:t xml:space="preserve">Discussion — MEPO Coverage and Assessment Granularity</w:t>
      </w:r>
    </w:p>
    <w:p>
      <w:pPr>
        <w:spacing w:after="120" w:before="0" w:line="276"/>
      </w:pPr>
      <w:r>
        <w:rPr>
          <w:rFonts w:ascii="Calibri" w:cs="Calibri" w:eastAsia="Calibri" w:hAnsi="Calibri"/>
          <w:color w:val="404040"/>
          <w:sz w:val="22"/>
          <w:szCs w:val="22"/>
        </w:rPr>
        <w:t xml:space="preserve">Dr. Barbara Masi raised the question of whether more granular assessment data could be incorporated into future phase reviews — specifically, assessment data extending beyond USMLE Step 1 (which is largely a medical-knowledge metric and does not directly cover many MEPOs).</w:t>
      </w:r>
    </w:p>
    <w:p>
      <w:pPr>
        <w:spacing w:after="120" w:before="0" w:line="276"/>
      </w:pPr>
      <w:r>
        <w:rPr>
          <w:rFonts w:ascii="Calibri" w:cs="Calibri" w:eastAsia="Calibri" w:hAnsi="Calibri"/>
          <w:color w:val="404040"/>
          <w:sz w:val="22"/>
          <w:szCs w:val="22"/>
        </w:rPr>
        <w:t xml:space="preserve">Dr. Soriano acknowledged the limitation: the school's assessment methodology is predominantly multiple-choice-based, which constrains the granularity available to demonstrate MEPO attainment for psychomotor and behavior-based MEPOs. The Art and Science of Medicine (ASM) course is the principal psychomotor course in the Legacy Phase 1. Dr. Soriano indicated that the Year 3 / Year 4 (Phase 2) review will provide more granularity, since most MEPOs are observable behaviors that can be assessed in the clerkships.</w:t>
      </w:r>
    </w:p>
    <w:p>
      <w:pPr>
        <w:pStyle w:val="Heading3"/>
        <w:spacing w:after="80" w:before="180"/>
      </w:pPr>
      <w:r>
        <w:rPr>
          <w:rFonts w:ascii="Calibri" w:cs="Calibri" w:eastAsia="Calibri" w:hAnsi="Calibri"/>
          <w:b/>
          <w:bCs/>
          <w:i/>
          <w:iCs/>
          <w:color w:val="404040"/>
          <w:sz w:val="22"/>
          <w:szCs w:val="22"/>
        </w:rPr>
        <w:t xml:space="preserve">Other Discussion</w:t>
      </w:r>
    </w:p>
    <w:p>
      <w:pPr>
        <w:spacing w:after="120" w:before="0" w:line="276"/>
      </w:pPr>
      <w:r>
        <w:rPr>
          <w:rFonts w:ascii="Calibri" w:cs="Calibri" w:eastAsia="Calibri" w:hAnsi="Calibri"/>
          <w:color w:val="404040"/>
          <w:sz w:val="22"/>
          <w:szCs w:val="22"/>
        </w:rPr>
        <w:t xml:space="preserve">Detailed framing questions and recommendations were embedded in the written report distributed in advance. Per Dr. Soriano: forward suggestions are presented as initial draft recommendations that the EOC, with support from the Director of Quality, Compliance, and Accreditation, will refine into a tracked action plan distinguishing items the EOC will act on, items to carry over, and items not pursued (with rationale documented for each). The written report will be circulated following review by the Dean for Medical Education.</w:t>
      </w:r>
    </w:p>
    <w:p>
      <w:pPr>
        <w:pStyle w:val="Heading3"/>
        <w:spacing w:after="80" w:before="180"/>
      </w:pPr>
      <w:r>
        <w:rPr>
          <w:rFonts w:ascii="Calibri" w:cs="Calibri" w:eastAsia="Calibri" w:hAnsi="Calibri"/>
          <w:b/>
          <w:bCs/>
          <w:i/>
          <w:iCs/>
          <w:color w:val="404040"/>
          <w:sz w:val="22"/>
          <w:szCs w:val="22"/>
        </w:rPr>
        <w:t xml:space="preserve">Outcome and Next Steps</w:t>
      </w:r>
    </w:p>
    <w:p>
      <w:pPr>
        <w:spacing w:after="120" w:before="0" w:line="276"/>
      </w:pPr>
      <w:r>
        <w:rPr>
          <w:rFonts w:ascii="Calibri" w:cs="Calibri" w:eastAsia="Calibri" w:hAnsi="Calibri"/>
          <w:b/>
          <w:bCs/>
          <w:color w:val="404040"/>
          <w:sz w:val="22"/>
          <w:szCs w:val="22"/>
        </w:rPr>
        <w:t xml:space="preserve">Discussion item; no formal vote at this presentation.</w:t>
      </w:r>
      <w:r>
        <w:rPr>
          <w:rFonts w:ascii="Calibri" w:cs="Calibri" w:eastAsia="Calibri" w:hAnsi="Calibri"/>
          <w:color w:val="404040"/>
          <w:sz w:val="22"/>
          <w:szCs w:val="22"/>
        </w:rPr>
        <w:t xml:space="preserve"> The Year 1 / Year 2 Legacy Phase Review was received by the EOC. A written report will be circulated by the Office of Curricular Affairs (following review by the Dean for Medical Education) for committee refinement into a tracked action plan. The remaining two Legacy reviews — Year 3 / Year 4 Phase Review and the Whole Curriculum Review — will be calendared with the EOC before end of calendar year 2024. Action items are recorded in Appendix A.</w:t>
      </w:r>
    </w:p>
    <w:p>
      <w:pPr>
        <w:pStyle w:val="Heading1"/>
        <w:pBdr>
          <w:bottom w:val="single" w:color="1F3A5F" w:sz="8" w:space="4"/>
        </w:pBdr>
        <w:spacing w:after="160" w:before="320"/>
      </w:pPr>
      <w:r>
        <w:rPr>
          <w:rFonts w:ascii="Calibri" w:cs="Calibri" w:eastAsia="Calibri" w:hAnsi="Calibri"/>
          <w:b/>
          <w:bCs/>
          <w:color w:val="1F3A5F"/>
          <w:sz w:val="28"/>
          <w:szCs w:val="28"/>
        </w:rPr>
        <w:t xml:space="preserve">7. Summary of Action Items</w:t>
      </w:r>
    </w:p>
    <w:p>
      <w:pPr>
        <w:spacing w:after="120" w:before="0" w:line="276"/>
      </w:pPr>
      <w:r>
        <w:rPr>
          <w:rFonts w:ascii="Calibri" w:cs="Calibri" w:eastAsia="Calibri" w:hAnsi="Calibri"/>
          <w:color w:val="404040"/>
          <w:sz w:val="22"/>
          <w:szCs w:val="22"/>
        </w:rPr>
        <w:t xml:space="preserve">Action items arising from this meeting are recorded in Appendix A (combined action register) at the end of these minutes. The register is the primary documentation record and is updated at each subsequent meeting as items are implemented and closed.</w:t>
      </w:r>
    </w:p>
    <w:p>
      <w:pPr>
        <w:pStyle w:val="Heading1"/>
        <w:pBdr>
          <w:bottom w:val="single" w:color="1F3A5F" w:sz="8" w:space="4"/>
        </w:pBdr>
        <w:spacing w:after="160" w:before="320"/>
      </w:pPr>
      <w:r>
        <w:rPr>
          <w:rFonts w:ascii="Calibri" w:cs="Calibri" w:eastAsia="Calibri" w:hAnsi="Calibri"/>
          <w:b/>
          <w:bCs/>
          <w:color w:val="1F3A5F"/>
          <w:sz w:val="28"/>
          <w:szCs w:val="28"/>
        </w:rPr>
        <w:t xml:space="preserve">8. Next Meeting and Adjournment</w:t>
      </w:r>
    </w:p>
    <w:p>
      <w:pPr>
        <w:spacing w:after="120"/>
      </w:pPr>
      <w:r>
        <w:rPr>
          <w:rFonts w:ascii="Calibri" w:cs="Calibri" w:eastAsia="Calibri" w:hAnsi="Calibri"/>
          <w:b/>
          <w:bCs/>
          <w:color w:val="1F3A5F"/>
          <w:sz w:val="22"/>
          <w:szCs w:val="22"/>
        </w:rPr>
        <w:t xml:space="preserve">Adjournment: </w:t>
      </w:r>
      <w:r>
        <w:rPr>
          <w:rFonts w:ascii="Calibri" w:cs="Calibri" w:eastAsia="Calibri" w:hAnsi="Calibri"/>
          <w:color w:val="404040"/>
          <w:sz w:val="22"/>
          <w:szCs w:val="22"/>
        </w:rPr>
        <w:t xml:space="preserve">Dr. Soriano noted the time at 1:01 p.m. ET; the Chair invited any final comments from subcommittee chairs or other members. Dr. Leisman indicated PCCS workstreams were ongoing without items for the committee; Dr. Holzer was briefly present but in a concurrent meeting. There being no further business raised, Dr. Francis declared the meeting adjourned at approximately 1:02 p.m. ET. The Chair confirmed the next scheduled meeting on October 4, 2024 (subsequently rescheduled to October 18, 2024).</w:t>
      </w:r>
    </w:p>
    <w:p>
      <w:pPr>
        <w:spacing w:after="120"/>
      </w:pPr>
      <w:r>
        <w:rPr>
          <w:rFonts w:ascii="Calibri" w:cs="Calibri" w:eastAsia="Calibri" w:hAnsi="Calibri"/>
          <w:b/>
          <w:bCs/>
          <w:color w:val="1F3A5F"/>
          <w:sz w:val="22"/>
          <w:szCs w:val="22"/>
        </w:rPr>
        <w:t xml:space="preserve">Next Scheduled Meeting: </w:t>
      </w:r>
      <w:r>
        <w:rPr>
          <w:rFonts w:ascii="Calibri" w:cs="Calibri" w:eastAsia="Calibri" w:hAnsi="Calibri"/>
          <w:color w:val="404040"/>
          <w:sz w:val="22"/>
          <w:szCs w:val="22"/>
        </w:rPr>
        <w:t xml:space="preserve">October 4, 2024 (subsequently rescheduled to October 18, 2024)</w:t>
      </w:r>
    </w:p>
    <w:p>
      <w:pPr>
        <w:pStyle w:val="Heading1"/>
        <w:pBdr>
          <w:bottom w:val="single" w:color="1F3A5F" w:sz="8" w:space="4"/>
        </w:pBdr>
        <w:spacing w:after="160" w:before="320"/>
      </w:pPr>
      <w:r>
        <w:rPr>
          <w:rFonts w:ascii="Calibri" w:cs="Calibri" w:eastAsia="Calibri" w:hAnsi="Calibri"/>
          <w:b/>
          <w:bCs/>
          <w:color w:val="1F3A5F"/>
          <w:sz w:val="28"/>
          <w:szCs w:val="28"/>
        </w:rPr>
        <w:t xml:space="preserve">9. Attestation</w:t>
      </w:r>
    </w:p>
    <w:p>
      <w:pPr>
        <w:spacing w:after="120" w:before="0" w:line="276"/>
      </w:pPr>
      <w:r>
        <w:rPr>
          <w:rFonts w:ascii="Calibri" w:cs="Calibri" w:eastAsia="Calibri" w:hAnsi="Calibri"/>
          <w:color w:val="404040"/>
          <w:sz w:val="22"/>
          <w:szCs w:val="22"/>
        </w:rPr>
        <w:t xml:space="preserve">These minutes are submitted as an accurate record of the proceedings of the Executive Oversight Committee on September 20, 2024. Minutes are prepared in alignment with LCME Element 8.1 (Curricular Management) documentation expectations and are subject to formal approval by the EOC at its next regular meeting.</w:t>
      </w:r>
    </w:p>
    <w:p>
      <w:pPr>
        <w:spacing w:after="120" w:before="0" w:line="276"/>
      </w:pPr>
    </w:p>
    <w:p>
      <w:pPr>
        <w:spacing w:after="60"/>
      </w:pPr>
      <w:r>
        <w:rPr>
          <w:rFonts w:ascii="Calibri" w:cs="Calibri" w:eastAsia="Calibri" w:hAnsi="Calibri"/>
          <w:b/>
          <w:bCs/>
          <w:color w:val="1F3A5F"/>
          <w:sz w:val="22"/>
          <w:szCs w:val="22"/>
        </w:rPr>
        <w:t xml:space="preserve">Submitted by: </w:t>
      </w:r>
      <w:r>
        <w:rPr>
          <w:rFonts w:ascii="Calibri" w:cs="Calibri" w:eastAsia="Calibri" w:hAnsi="Calibri"/>
          <w:color w:val="404040"/>
          <w:sz w:val="22"/>
          <w:szCs w:val="22"/>
        </w:rPr>
        <w:t xml:space="preserve">________________________________________</w:t>
      </w:r>
    </w:p>
    <w:p>
      <w:pPr>
        <w:spacing w:after="120" w:before="0" w:line="276"/>
      </w:pPr>
      <w:r>
        <w:rPr>
          <w:rFonts w:ascii="Calibri" w:cs="Calibri" w:eastAsia="Calibri" w:hAnsi="Calibri"/>
          <w:i/>
          <w:iCs/>
          <w:color w:val="404040"/>
          <w:sz w:val="22"/>
          <w:szCs w:val="22"/>
        </w:rPr>
        <w:t xml:space="preserve">Recording Secretary, Executive Oversight Committee</w:t>
      </w:r>
    </w:p>
    <w:p>
      <w:pPr>
        <w:spacing w:after="120" w:before="0" w:line="276"/>
      </w:pPr>
    </w:p>
    <w:p>
      <w:pPr>
        <w:spacing w:after="60"/>
      </w:pPr>
      <w:r>
        <w:rPr>
          <w:rFonts w:ascii="Calibri" w:cs="Calibri" w:eastAsia="Calibri" w:hAnsi="Calibri"/>
          <w:b/>
          <w:bCs/>
          <w:color w:val="1F3A5F"/>
          <w:sz w:val="22"/>
          <w:szCs w:val="22"/>
        </w:rPr>
        <w:t xml:space="preserve">Approved by: </w:t>
      </w:r>
      <w:r>
        <w:rPr>
          <w:rFonts w:ascii="Calibri" w:cs="Calibri" w:eastAsia="Calibri" w:hAnsi="Calibri"/>
          <w:color w:val="404040"/>
          <w:sz w:val="22"/>
          <w:szCs w:val="22"/>
        </w:rPr>
        <w:t xml:space="preserve">________________________________________</w:t>
      </w:r>
    </w:p>
    <w:p>
      <w:pPr>
        <w:spacing w:after="120" w:before="0" w:line="276"/>
      </w:pPr>
      <w:r>
        <w:rPr>
          <w:rFonts w:ascii="Calibri" w:cs="Calibri" w:eastAsia="Calibri" w:hAnsi="Calibri"/>
          <w:i/>
          <w:iCs/>
          <w:color w:val="404040"/>
          <w:sz w:val="22"/>
          <w:szCs w:val="22"/>
        </w:rPr>
        <w:t xml:space="preserve">Michelle Francis, MD — Chair, Executive Oversight Committee</w:t>
      </w:r>
    </w:p>
    <w:p>
      <w:pPr>
        <w:spacing w:after="120" w:before="0" w:line="276"/>
      </w:pPr>
    </w:p>
    <w:p>
      <w:pPr>
        <w:spacing w:after="60"/>
      </w:pPr>
      <w:r>
        <w:rPr>
          <w:rFonts w:ascii="Calibri" w:cs="Calibri" w:eastAsia="Calibri" w:hAnsi="Calibri"/>
          <w:b/>
          <w:bCs/>
          <w:color w:val="1F3A5F"/>
          <w:sz w:val="22"/>
          <w:szCs w:val="22"/>
        </w:rPr>
        <w:t xml:space="preserve">Date of Approval: </w:t>
      </w:r>
      <w:r>
        <w:rPr>
          <w:rFonts w:ascii="Calibri" w:cs="Calibri" w:eastAsia="Calibri" w:hAnsi="Calibri"/>
          <w:color w:val="404040"/>
          <w:sz w:val="22"/>
          <w:szCs w:val="22"/>
        </w:rPr>
        <w:t xml:space="preserve">____________________</w:t>
      </w:r>
    </w:p>
    <w:p>
      <w:pPr>
        <w:sectPr>
          <w:headerReference w:type="default" r:id="rId7"/>
          <w:footerReference w:type="default" r:id="rId8"/>
          <w:pgSz w:w="12240" w:h="15840" w:orient="portrait"/>
          <w:pgMar w:top="1440" w:right="1440" w:bottom="1440" w:left="1440" w:header="708" w:footer="708" w:gutter="0"/>
          <w:pgNumType/>
          <w:docGrid w:linePitch="360"/>
        </w:sectPr>
      </w:pPr>
    </w:p>
    <w:p>
      <w:pPr>
        <w:pStyle w:val="Heading1"/>
        <w:pBdr>
          <w:bottom w:val="single" w:color="1F3A5F" w:sz="8" w:space="4"/>
        </w:pBdr>
        <w:spacing w:after="160" w:before="320"/>
      </w:pPr>
      <w:r>
        <w:rPr>
          <w:rFonts w:ascii="Calibri" w:cs="Calibri" w:eastAsia="Calibri" w:hAnsi="Calibri"/>
          <w:b/>
          <w:bCs/>
          <w:color w:val="1F3A5F"/>
          <w:sz w:val="28"/>
          <w:szCs w:val="28"/>
        </w:rPr>
        <w:t xml:space="preserve">Appendix A — EOC Combined Action Register</w:t>
      </w:r>
    </w:p>
    <w:p>
      <w:pPr>
        <w:spacing w:after="120" w:before="0" w:line="276"/>
      </w:pPr>
      <w:r>
        <w:rPr>
          <w:rFonts w:ascii="Calibri" w:cs="Calibri" w:eastAsia="Calibri" w:hAnsi="Calibri"/>
          <w:color w:val="404040"/>
          <w:sz w:val="22"/>
          <w:szCs w:val="22"/>
        </w:rPr>
        <w:t xml:space="preserve">This register records all action items arising from the meeting, both educational and operational. It is carried forward at each meeting and updated as items are implemented and closed.</w:t>
      </w:r>
    </w:p>
    <w:p>
      <w:pPr>
        <w:spacing w:after="120" w:before="0" w:line="276"/>
      </w:pPr>
      <w:r>
        <w:rPr>
          <w:rFonts w:ascii="Calibri" w:cs="Calibri" w:eastAsia="Calibri" w:hAnsi="Calibri"/>
          <w:i/>
          <w:iCs/>
          <w:color w:val="404040"/>
          <w:sz w:val="22"/>
          <w:szCs w:val="22"/>
        </w:rPr>
        <w:t xml:space="preserve">Status key:  OPEN (action initiated)  •  IN PROGRESS (work underway)  •  CLOSED (12-month follow-up complete)</w:t>
      </w:r>
    </w:p>
    <w:tbl>
      <w:tblPr>
        <w:tblW w:type="dxa" w:w="12960"/>
        <w:tblBorders>
          <w:top w:val="single" w:color="auto" w:sz="4"/>
          <w:left w:val="single" w:color="auto" w:sz="4"/>
          <w:bottom w:val="single" w:color="auto" w:sz="4"/>
          <w:right w:val="single" w:color="auto" w:sz="4"/>
          <w:insideH w:val="single" w:color="auto" w:sz="4"/>
          <w:insideV w:val="single" w:color="auto" w:sz="4"/>
        </w:tblBorders>
      </w:tblPr>
      <w:tblGrid>
        <w:gridCol w:w="1700"/>
        <w:gridCol w:w="3200"/>
        <w:gridCol w:w="1900"/>
        <w:gridCol w:w="1500"/>
        <w:gridCol w:w="1700"/>
        <w:gridCol w:w="1100"/>
        <w:gridCol w:w="1860"/>
      </w:tblGrid>
      <w:tr>
        <w:trPr>
          <w:tblHeader/>
        </w:trPr>
        <w:tc>
          <w:tcPr>
            <w:tcW w:type="dxa" w:w="1700"/>
            <w:tcBorders>
              <w:top w:val="single" w:color="BFBFBF" w:sz="4"/>
              <w:left w:val="single" w:color="BFBFBF" w:sz="4"/>
              <w:bottom w:val="single" w:color="BFBFBF" w:sz="4"/>
              <w:right w:val="single" w:color="BFBFBF" w:sz="4"/>
            </w:tcBorders>
            <w:shd w:fill="1F3A5F" w:val="clear"/>
            <w:tcMar>
              <w:top w:type="dxa" w:w="80"/>
              <w:left w:type="dxa" w:w="120"/>
              <w:bottom w:type="dxa" w:w="80"/>
              <w:right w:type="dxa" w:w="120"/>
            </w:tcMar>
            <w:vAlign w:val="center"/>
          </w:tcPr>
          <w:p>
            <w:pPr>
              <w:spacing w:after="40" w:before="40" w:line="276"/>
            </w:pPr>
            <w:r>
              <w:rPr>
                <w:rFonts w:ascii="Calibri" w:cs="Calibri" w:eastAsia="Calibri" w:hAnsi="Calibri"/>
                <w:b/>
                <w:bCs/>
                <w:color w:val="FFFFFF"/>
                <w:sz w:val="22"/>
                <w:szCs w:val="22"/>
              </w:rPr>
              <w:t xml:space="preserve">Action</w:t>
            </w:r>
          </w:p>
        </w:tc>
        <w:tc>
          <w:tcPr>
            <w:tcW w:type="dxa" w:w="3200"/>
            <w:tcBorders>
              <w:top w:val="single" w:color="BFBFBF" w:sz="4"/>
              <w:left w:val="single" w:color="BFBFBF" w:sz="4"/>
              <w:bottom w:val="single" w:color="BFBFBF" w:sz="4"/>
              <w:right w:val="single" w:color="BFBFBF" w:sz="4"/>
            </w:tcBorders>
            <w:shd w:fill="1F3A5F" w:val="clear"/>
            <w:tcMar>
              <w:top w:type="dxa" w:w="80"/>
              <w:left w:type="dxa" w:w="120"/>
              <w:bottom w:type="dxa" w:w="80"/>
              <w:right w:type="dxa" w:w="120"/>
            </w:tcMar>
            <w:vAlign w:val="center"/>
          </w:tcPr>
          <w:p>
            <w:pPr>
              <w:spacing w:after="40" w:before="40" w:line="276"/>
            </w:pPr>
            <w:r>
              <w:rPr>
                <w:rFonts w:ascii="Calibri" w:cs="Calibri" w:eastAsia="Calibri" w:hAnsi="Calibri"/>
                <w:b/>
                <w:bCs/>
                <w:color w:val="FFFFFF"/>
                <w:sz w:val="22"/>
                <w:szCs w:val="22"/>
              </w:rPr>
              <w:t xml:space="preserve">Description</w:t>
            </w:r>
          </w:p>
        </w:tc>
        <w:tc>
          <w:tcPr>
            <w:tcW w:type="dxa" w:w="1900"/>
            <w:tcBorders>
              <w:top w:val="single" w:color="BFBFBF" w:sz="4"/>
              <w:left w:val="single" w:color="BFBFBF" w:sz="4"/>
              <w:bottom w:val="single" w:color="BFBFBF" w:sz="4"/>
              <w:right w:val="single" w:color="BFBFBF" w:sz="4"/>
            </w:tcBorders>
            <w:shd w:fill="1F3A5F" w:val="clear"/>
            <w:tcMar>
              <w:top w:type="dxa" w:w="80"/>
              <w:left w:type="dxa" w:w="120"/>
              <w:bottom w:type="dxa" w:w="80"/>
              <w:right w:type="dxa" w:w="120"/>
            </w:tcMar>
            <w:vAlign w:val="center"/>
          </w:tcPr>
          <w:p>
            <w:pPr>
              <w:spacing w:after="40" w:before="40" w:line="276"/>
            </w:pPr>
            <w:r>
              <w:rPr>
                <w:rFonts w:ascii="Calibri" w:cs="Calibri" w:eastAsia="Calibri" w:hAnsi="Calibri"/>
                <w:b/>
                <w:bCs/>
                <w:color w:val="FFFFFF"/>
                <w:sz w:val="22"/>
                <w:szCs w:val="22"/>
              </w:rPr>
              <w:t xml:space="preserve">Owner</w:t>
            </w:r>
          </w:p>
        </w:tc>
        <w:tc>
          <w:tcPr>
            <w:tcW w:type="dxa" w:w="1500"/>
            <w:tcBorders>
              <w:top w:val="single" w:color="BFBFBF" w:sz="4"/>
              <w:left w:val="single" w:color="BFBFBF" w:sz="4"/>
              <w:bottom w:val="single" w:color="BFBFBF" w:sz="4"/>
              <w:right w:val="single" w:color="BFBFBF" w:sz="4"/>
            </w:tcBorders>
            <w:shd w:fill="1F3A5F" w:val="clear"/>
            <w:tcMar>
              <w:top w:type="dxa" w:w="80"/>
              <w:left w:type="dxa" w:w="120"/>
              <w:bottom w:type="dxa" w:w="80"/>
              <w:right w:type="dxa" w:w="120"/>
            </w:tcMar>
            <w:vAlign w:val="center"/>
          </w:tcPr>
          <w:p>
            <w:pPr>
              <w:spacing w:after="40" w:before="40" w:line="276"/>
            </w:pPr>
            <w:r>
              <w:rPr>
                <w:rFonts w:ascii="Calibri" w:cs="Calibri" w:eastAsia="Calibri" w:hAnsi="Calibri"/>
                <w:b/>
                <w:bCs/>
                <w:color w:val="FFFFFF"/>
                <w:sz w:val="22"/>
                <w:szCs w:val="22"/>
              </w:rPr>
              <w:t xml:space="preserve">LCME Element(s)</w:t>
            </w:r>
          </w:p>
        </w:tc>
        <w:tc>
          <w:tcPr>
            <w:tcW w:type="dxa" w:w="1700"/>
            <w:tcBorders>
              <w:top w:val="single" w:color="BFBFBF" w:sz="4"/>
              <w:left w:val="single" w:color="BFBFBF" w:sz="4"/>
              <w:bottom w:val="single" w:color="BFBFBF" w:sz="4"/>
              <w:right w:val="single" w:color="BFBFBF" w:sz="4"/>
            </w:tcBorders>
            <w:shd w:fill="1F3A5F" w:val="clear"/>
            <w:tcMar>
              <w:top w:type="dxa" w:w="80"/>
              <w:left w:type="dxa" w:w="120"/>
              <w:bottom w:type="dxa" w:w="80"/>
              <w:right w:type="dxa" w:w="120"/>
            </w:tcMar>
            <w:vAlign w:val="center"/>
          </w:tcPr>
          <w:p>
            <w:pPr>
              <w:spacing w:after="40" w:before="40" w:line="276"/>
            </w:pPr>
            <w:r>
              <w:rPr>
                <w:rFonts w:ascii="Calibri" w:cs="Calibri" w:eastAsia="Calibri" w:hAnsi="Calibri"/>
                <w:b/>
                <w:bCs/>
                <w:color w:val="FFFFFF"/>
                <w:sz w:val="22"/>
                <w:szCs w:val="22"/>
              </w:rPr>
              <w:t xml:space="preserve">Due / Return</w:t>
            </w:r>
          </w:p>
        </w:tc>
        <w:tc>
          <w:tcPr>
            <w:tcW w:type="dxa" w:w="1100"/>
            <w:tcBorders>
              <w:top w:val="single" w:color="BFBFBF" w:sz="4"/>
              <w:left w:val="single" w:color="BFBFBF" w:sz="4"/>
              <w:bottom w:val="single" w:color="BFBFBF" w:sz="4"/>
              <w:right w:val="single" w:color="BFBFBF" w:sz="4"/>
            </w:tcBorders>
            <w:shd w:fill="1F3A5F" w:val="clear"/>
            <w:tcMar>
              <w:top w:type="dxa" w:w="80"/>
              <w:left w:type="dxa" w:w="120"/>
              <w:bottom w:type="dxa" w:w="80"/>
              <w:right w:type="dxa" w:w="120"/>
            </w:tcMar>
            <w:vAlign w:val="center"/>
          </w:tcPr>
          <w:p>
            <w:pPr>
              <w:spacing w:after="40" w:before="40" w:line="276"/>
            </w:pPr>
            <w:r>
              <w:rPr>
                <w:rFonts w:ascii="Calibri" w:cs="Calibri" w:eastAsia="Calibri" w:hAnsi="Calibri"/>
                <w:b/>
                <w:bCs/>
                <w:color w:val="FFFFFF"/>
                <w:sz w:val="22"/>
                <w:szCs w:val="22"/>
              </w:rPr>
              <w:t xml:space="preserve">Status</w:t>
            </w:r>
          </w:p>
        </w:tc>
        <w:tc>
          <w:tcPr>
            <w:tcW w:type="dxa" w:w="1860"/>
            <w:tcBorders>
              <w:top w:val="single" w:color="BFBFBF" w:sz="4"/>
              <w:left w:val="single" w:color="BFBFBF" w:sz="4"/>
              <w:bottom w:val="single" w:color="BFBFBF" w:sz="4"/>
              <w:right w:val="single" w:color="BFBFBF" w:sz="4"/>
            </w:tcBorders>
            <w:shd w:fill="1F3A5F" w:val="clear"/>
            <w:tcMar>
              <w:top w:type="dxa" w:w="80"/>
              <w:left w:type="dxa" w:w="120"/>
              <w:bottom w:type="dxa" w:w="80"/>
              <w:right w:type="dxa" w:w="120"/>
            </w:tcMar>
            <w:vAlign w:val="center"/>
          </w:tcPr>
          <w:p>
            <w:pPr>
              <w:spacing w:after="40" w:before="40" w:line="276"/>
            </w:pPr>
            <w:r>
              <w:rPr>
                <w:rFonts w:ascii="Calibri" w:cs="Calibri" w:eastAsia="Calibri" w:hAnsi="Calibri"/>
                <w:b/>
                <w:bCs/>
                <w:color w:val="FFFFFF"/>
                <w:sz w:val="22"/>
                <w:szCs w:val="22"/>
              </w:rPr>
              <w:t xml:space="preserve">Closed-Loop Determination</w:t>
            </w:r>
          </w:p>
        </w:tc>
      </w:tr>
      <w:tr>
        <w:tc>
          <w:tcPr>
            <w:tcW w:type="dxa" w:w="12960"/>
            <w:gridSpan w:val="7"/>
            <w:tcBorders>
              <w:top w:val="single" w:color="BFBFBF" w:sz="4"/>
              <w:left w:val="single" w:color="BFBFBF" w:sz="4"/>
              <w:bottom w:val="single" w:color="BFBFBF" w:sz="4"/>
              <w:right w:val="single" w:color="BFBFBF" w:sz="4"/>
            </w:tcBorders>
            <w:shd w:fill="2E5984" w:val="clear"/>
            <w:tcMar>
              <w:top w:type="dxa" w:w="60"/>
              <w:left w:type="dxa" w:w="120"/>
              <w:bottom w:type="dxa" w:w="60"/>
              <w:right w:type="dxa" w:w="120"/>
            </w:tcMar>
          </w:tcPr>
          <w:p>
            <w:pPr>
              <w:spacing w:after="40" w:before="40" w:line="276"/>
            </w:pPr>
            <w:r>
              <w:rPr>
                <w:rFonts w:ascii="Calibri" w:cs="Calibri" w:eastAsia="Calibri" w:hAnsi="Calibri"/>
                <w:b/>
                <w:bCs/>
                <w:color w:val="FFFFFF"/>
                <w:sz w:val="22"/>
                <w:szCs w:val="22"/>
              </w:rPr>
              <w:t xml:space="preserve">SEPTEMBER 20, 2024  —  Year 1 / Year 2 Legacy Phase Review (LCME 8.3)</w:t>
            </w:r>
          </w:p>
        </w:tc>
      </w:tr>
      <w:tr>
        <w:tc>
          <w:tcPr>
            <w:tcW w:type="dxa" w:w="170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spacing w:after="40" w:before="40" w:line="276"/>
            </w:pPr>
            <w:r>
              <w:rPr>
                <w:rFonts w:ascii="Calibri" w:cs="Calibri" w:eastAsia="Calibri" w:hAnsi="Calibri"/>
                <w:b/>
                <w:bCs/>
                <w:color w:val="1F3A5F"/>
                <w:sz w:val="22"/>
                <w:szCs w:val="22"/>
              </w:rPr>
              <w:t xml:space="preserve">Year 1 / Year 2 Legacy Phase Review — Written Report and EOC Refinement</w:t>
            </w:r>
          </w:p>
        </w:tc>
        <w:tc>
          <w:tcPr>
            <w:tcW w:type="dxa" w:w="320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spacing w:after="40" w:before="40" w:line="276"/>
            </w:pPr>
            <w:r>
              <w:rPr>
                <w:rFonts w:ascii="Calibri" w:cs="Calibri" w:eastAsia="Calibri" w:hAnsi="Calibri"/>
                <w:color w:val="404040"/>
                <w:sz w:val="22"/>
                <w:szCs w:val="22"/>
              </w:rPr>
              <w:t xml:space="preserve">Finalize the written Year 1 / Year 2 (Phase 1) Legacy Phase Review report. Route the draft for review by the Dean for Medical Education and circulate to the EOC. The EOC, with support from the Director of Quality, Compliance, and Accreditation, will refine the draft recommendations into a tracked action plan distinguishing items the EOC will act on, items to carry over, and items not pursued (with rationale documented for each).</w:t>
            </w:r>
          </w:p>
        </w:tc>
        <w:tc>
          <w:tcPr>
            <w:tcW w:type="dxa" w:w="190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spacing w:after="40" w:before="40" w:line="276"/>
            </w:pPr>
            <w:r>
              <w:rPr>
                <w:rFonts w:ascii="Calibri" w:cs="Calibri" w:eastAsia="Calibri" w:hAnsi="Calibri"/>
                <w:color w:val="404040"/>
                <w:sz w:val="22"/>
                <w:szCs w:val="22"/>
              </w:rPr>
              <w:t xml:space="preserve">R. Soriano, MD</w:t>
            </w:r>
          </w:p>
          <w:p>
            <w:pPr>
              <w:spacing w:after="40" w:before="40" w:line="276"/>
            </w:pPr>
            <w:r>
              <w:rPr>
                <w:rFonts w:ascii="Calibri" w:cs="Calibri" w:eastAsia="Calibri" w:hAnsi="Calibri"/>
                <w:color w:val="404040"/>
                <w:sz w:val="22"/>
                <w:szCs w:val="22"/>
              </w:rPr>
              <w:t xml:space="preserve">D. C. Thomas, MD MHPE</w:t>
            </w:r>
          </w:p>
          <w:p>
            <w:pPr>
              <w:spacing w:after="40" w:before="40" w:line="276"/>
            </w:pPr>
            <w:r>
              <w:rPr>
                <w:rFonts w:ascii="Calibri" w:cs="Calibri" w:eastAsia="Calibri" w:hAnsi="Calibri"/>
                <w:color w:val="404040"/>
                <w:sz w:val="22"/>
                <w:szCs w:val="22"/>
              </w:rPr>
              <w:t xml:space="preserve">B. Masi, PhD</w:t>
            </w:r>
          </w:p>
          <w:p>
            <w:pPr>
              <w:spacing w:after="40" w:before="40" w:line="276"/>
            </w:pPr>
            <w:r>
              <w:rPr>
                <w:rFonts w:ascii="Calibri" w:cs="Calibri" w:eastAsia="Calibri" w:hAnsi="Calibri"/>
                <w:color w:val="404040"/>
                <w:sz w:val="22"/>
                <w:szCs w:val="22"/>
              </w:rPr>
              <w:t xml:space="preserve">Office of Curricular Affairs</w:t>
            </w:r>
          </w:p>
        </w:tc>
        <w:tc>
          <w:tcPr>
            <w:tcW w:type="dxa" w:w="150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spacing w:after="40" w:before="40" w:line="276"/>
              <w:jc w:val="center"/>
            </w:pPr>
            <w:r>
              <w:rPr>
                <w:rFonts w:ascii="Calibri" w:cs="Calibri" w:eastAsia="Calibri" w:hAnsi="Calibri"/>
                <w:color w:val="404040"/>
                <w:sz w:val="22"/>
                <w:szCs w:val="22"/>
              </w:rPr>
              <w:t xml:space="preserve">8.1 / 8.3 / 8.4</w:t>
            </w:r>
          </w:p>
        </w:tc>
        <w:tc>
          <w:tcPr>
            <w:tcW w:type="dxa" w:w="170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spacing w:after="40" w:before="40" w:line="276"/>
            </w:pPr>
            <w:r>
              <w:rPr>
                <w:rFonts w:ascii="Calibri" w:cs="Calibri" w:eastAsia="Calibri" w:hAnsi="Calibri"/>
                <w:color w:val="404040"/>
                <w:sz w:val="22"/>
                <w:szCs w:val="22"/>
              </w:rPr>
              <w:t xml:space="preserve">Before the next EOC meeting (October 18, 2024)</w:t>
            </w:r>
          </w:p>
        </w:tc>
        <w:tc>
          <w:tcPr>
            <w:tcW w:type="dxa" w:w="1100"/>
            <w:tcBorders>
              <w:top w:val="single" w:color="BFBFBF" w:sz="4"/>
              <w:left w:val="single" w:color="BFBFBF" w:sz="4"/>
              <w:bottom w:val="single" w:color="BFBFBF" w:sz="4"/>
              <w:right w:val="single" w:color="BFBFBF" w:sz="4"/>
            </w:tcBorders>
            <w:shd w:fill="E8F1E1" w:val="clear"/>
            <w:tcMar>
              <w:top w:type="dxa" w:w="80"/>
              <w:left w:type="dxa" w:w="120"/>
              <w:bottom w:type="dxa" w:w="80"/>
              <w:right w:type="dxa" w:w="120"/>
            </w:tcMar>
            <w:vAlign w:val="center"/>
          </w:tcPr>
          <w:p>
            <w:pPr>
              <w:spacing w:after="40" w:before="40" w:line="276"/>
            </w:pPr>
            <w:r>
              <w:rPr>
                <w:rFonts w:ascii="Calibri" w:cs="Calibri" w:eastAsia="Calibri" w:hAnsi="Calibri"/>
                <w:b/>
                <w:bCs/>
                <w:color w:val="404040"/>
                <w:sz w:val="22"/>
                <w:szCs w:val="22"/>
              </w:rPr>
              <w:t xml:space="preserve">OPEN</w:t>
            </w:r>
          </w:p>
        </w:tc>
        <w:tc>
          <w:tcPr>
            <w:tcW w:type="dxa" w:w="186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spacing w:after="40" w:before="40" w:line="276"/>
            </w:pPr>
          </w:p>
        </w:tc>
      </w:tr>
      <w:tr>
        <w:tc>
          <w:tcPr>
            <w:tcW w:type="dxa" w:w="170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spacing w:after="40" w:before="40" w:line="276"/>
            </w:pPr>
            <w:r>
              <w:rPr>
                <w:rFonts w:ascii="Calibri" w:cs="Calibri" w:eastAsia="Calibri" w:hAnsi="Calibri"/>
                <w:b/>
                <w:bCs/>
                <w:color w:val="1F3A5F"/>
                <w:sz w:val="22"/>
                <w:szCs w:val="22"/>
              </w:rPr>
              <w:t xml:space="preserve">Anatomy and MCGF Restructuring — Outcome Tracking</w:t>
            </w:r>
          </w:p>
        </w:tc>
        <w:tc>
          <w:tcPr>
            <w:tcW w:type="dxa" w:w="320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spacing w:after="40" w:before="40" w:line="276"/>
            </w:pPr>
            <w:r>
              <w:rPr>
                <w:rFonts w:ascii="Calibri" w:cs="Calibri" w:eastAsia="Calibri" w:hAnsi="Calibri"/>
                <w:color w:val="404040"/>
                <w:sz w:val="22"/>
                <w:szCs w:val="22"/>
              </w:rPr>
              <w:t xml:space="preserve">Track end-of-course and end-of-module evaluation outcomes for the restructured Anatomy and MCGF courses through AY 2024–2025 and into the first ASCEND cohort, recognizing that GQ outcomes will not surface restructuring impact until later AAMC cycles. Surface tracked outcomes to the EOC at the next Phase 1 review.</w:t>
            </w:r>
          </w:p>
        </w:tc>
        <w:tc>
          <w:tcPr>
            <w:tcW w:type="dxa" w:w="190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spacing w:after="40" w:before="40" w:line="276"/>
            </w:pPr>
            <w:r>
              <w:rPr>
                <w:rFonts w:ascii="Calibri" w:cs="Calibri" w:eastAsia="Calibri" w:hAnsi="Calibri"/>
                <w:color w:val="404040"/>
                <w:sz w:val="22"/>
                <w:szCs w:val="22"/>
              </w:rPr>
              <w:t xml:space="preserve">R. Soriano, MD</w:t>
            </w:r>
          </w:p>
          <w:p>
            <w:pPr>
              <w:spacing w:after="40" w:before="40" w:line="276"/>
            </w:pPr>
            <w:r>
              <w:rPr>
                <w:rFonts w:ascii="Calibri" w:cs="Calibri" w:eastAsia="Calibri" w:hAnsi="Calibri"/>
                <w:color w:val="404040"/>
                <w:sz w:val="22"/>
                <w:szCs w:val="22"/>
              </w:rPr>
              <w:t xml:space="preserve">R. Fallar, PhD</w:t>
            </w:r>
          </w:p>
          <w:p>
            <w:pPr>
              <w:spacing w:after="40" w:before="40" w:line="276"/>
            </w:pPr>
            <w:r>
              <w:rPr>
                <w:rFonts w:ascii="Calibri" w:cs="Calibri" w:eastAsia="Calibri" w:hAnsi="Calibri"/>
                <w:color w:val="404040"/>
                <w:sz w:val="22"/>
                <w:szCs w:val="22"/>
              </w:rPr>
              <w:t xml:space="preserve">T. (Trevor) — Anatomy Course Director</w:t>
            </w:r>
          </w:p>
          <w:p>
            <w:pPr>
              <w:spacing w:after="40" w:before="40" w:line="276"/>
            </w:pPr>
            <w:r>
              <w:rPr>
                <w:rFonts w:ascii="Calibri" w:cs="Calibri" w:eastAsia="Calibri" w:hAnsi="Calibri"/>
                <w:color w:val="404040"/>
                <w:sz w:val="22"/>
                <w:szCs w:val="22"/>
              </w:rPr>
              <w:t xml:space="preserve">MCGF Module Directors</w:t>
            </w:r>
          </w:p>
        </w:tc>
        <w:tc>
          <w:tcPr>
            <w:tcW w:type="dxa" w:w="150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spacing w:after="40" w:before="40" w:line="276"/>
              <w:jc w:val="center"/>
            </w:pPr>
            <w:r>
              <w:rPr>
                <w:rFonts w:ascii="Calibri" w:cs="Calibri" w:eastAsia="Calibri" w:hAnsi="Calibri"/>
                <w:color w:val="404040"/>
                <w:sz w:val="22"/>
                <w:szCs w:val="22"/>
              </w:rPr>
              <w:t xml:space="preserve">8.3 / 8.4 / 9.4</w:t>
            </w:r>
          </w:p>
        </w:tc>
        <w:tc>
          <w:tcPr>
            <w:tcW w:type="dxa" w:w="170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spacing w:after="40" w:before="40" w:line="276"/>
            </w:pPr>
            <w:r>
              <w:rPr>
                <w:rFonts w:ascii="Calibri" w:cs="Calibri" w:eastAsia="Calibri" w:hAnsi="Calibri"/>
                <w:color w:val="404040"/>
                <w:sz w:val="22"/>
                <w:szCs w:val="22"/>
              </w:rPr>
              <w:t xml:space="preserve">End-of-course outcomes by AY 2024–2025; first ASCEND review</w:t>
            </w:r>
          </w:p>
        </w:tc>
        <w:tc>
          <w:tcPr>
            <w:tcW w:type="dxa" w:w="1100"/>
            <w:tcBorders>
              <w:top w:val="single" w:color="BFBFBF" w:sz="4"/>
              <w:left w:val="single" w:color="BFBFBF" w:sz="4"/>
              <w:bottom w:val="single" w:color="BFBFBF" w:sz="4"/>
              <w:right w:val="single" w:color="BFBFBF" w:sz="4"/>
            </w:tcBorders>
            <w:shd w:fill="E8F1E1" w:val="clear"/>
            <w:tcMar>
              <w:top w:type="dxa" w:w="80"/>
              <w:left w:type="dxa" w:w="120"/>
              <w:bottom w:type="dxa" w:w="80"/>
              <w:right w:type="dxa" w:w="120"/>
            </w:tcMar>
            <w:vAlign w:val="center"/>
          </w:tcPr>
          <w:p>
            <w:pPr>
              <w:spacing w:after="40" w:before="40" w:line="276"/>
            </w:pPr>
            <w:r>
              <w:rPr>
                <w:rFonts w:ascii="Calibri" w:cs="Calibri" w:eastAsia="Calibri" w:hAnsi="Calibri"/>
                <w:b/>
                <w:bCs/>
                <w:color w:val="404040"/>
                <w:sz w:val="22"/>
                <w:szCs w:val="22"/>
              </w:rPr>
              <w:t xml:space="preserve">OPEN</w:t>
            </w:r>
          </w:p>
        </w:tc>
        <w:tc>
          <w:tcPr>
            <w:tcW w:type="dxa" w:w="186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spacing w:after="40" w:before="40" w:line="276"/>
            </w:pPr>
          </w:p>
        </w:tc>
      </w:tr>
      <w:tr>
        <w:tc>
          <w:tcPr>
            <w:tcW w:type="dxa" w:w="170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spacing w:after="40" w:before="40" w:line="276"/>
            </w:pPr>
            <w:r>
              <w:rPr>
                <w:rFonts w:ascii="Calibri" w:cs="Calibri" w:eastAsia="Calibri" w:hAnsi="Calibri"/>
                <w:b/>
                <w:bCs/>
                <w:color w:val="1F3A5F"/>
                <w:sz w:val="22"/>
                <w:szCs w:val="22"/>
              </w:rPr>
              <w:t xml:space="preserve">Assessment Methodology Granularity — Beyond MCQ-Based Assessment</w:t>
            </w:r>
          </w:p>
        </w:tc>
        <w:tc>
          <w:tcPr>
            <w:tcW w:type="dxa" w:w="320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spacing w:after="40" w:before="40" w:line="276"/>
            </w:pPr>
            <w:r>
              <w:rPr>
                <w:rFonts w:ascii="Calibri" w:cs="Calibri" w:eastAsia="Calibri" w:hAnsi="Calibri"/>
                <w:color w:val="404040"/>
                <w:sz w:val="22"/>
                <w:szCs w:val="22"/>
              </w:rPr>
              <w:t xml:space="preserve">Evaluate options for extending assessment granularity beyond predominantly multiple-choice methodology to better support MEPO-coverage analysis, particularly for behavior-based and psychomotor MEPOs. Coordinate with Office of Assessment and Evaluation and CCS as ASCEND assessment infrastructure matures.</w:t>
            </w:r>
          </w:p>
        </w:tc>
        <w:tc>
          <w:tcPr>
            <w:tcW w:type="dxa" w:w="190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spacing w:after="40" w:before="40" w:line="276"/>
            </w:pPr>
            <w:r>
              <w:rPr>
                <w:rFonts w:ascii="Calibri" w:cs="Calibri" w:eastAsia="Calibri" w:hAnsi="Calibri"/>
                <w:color w:val="404040"/>
                <w:sz w:val="22"/>
                <w:szCs w:val="22"/>
              </w:rPr>
              <w:t xml:space="preserve">R. Fallar, PhD</w:t>
            </w:r>
          </w:p>
          <w:p>
            <w:pPr>
              <w:spacing w:after="40" w:before="40" w:line="276"/>
            </w:pPr>
            <w:r>
              <w:rPr>
                <w:rFonts w:ascii="Calibri" w:cs="Calibri" w:eastAsia="Calibri" w:hAnsi="Calibri"/>
                <w:color w:val="404040"/>
                <w:sz w:val="22"/>
                <w:szCs w:val="22"/>
              </w:rPr>
              <w:t xml:space="preserve">R. Soriano, MD</w:t>
            </w:r>
          </w:p>
          <w:p>
            <w:pPr>
              <w:spacing w:after="40" w:before="40" w:line="276"/>
            </w:pPr>
            <w:r>
              <w:rPr>
                <w:rFonts w:ascii="Calibri" w:cs="Calibri" w:eastAsia="Calibri" w:hAnsi="Calibri"/>
                <w:color w:val="404040"/>
                <w:sz w:val="22"/>
                <w:szCs w:val="22"/>
              </w:rPr>
              <w:t xml:space="preserve">Office of Assessment and Evaluation</w:t>
            </w:r>
          </w:p>
        </w:tc>
        <w:tc>
          <w:tcPr>
            <w:tcW w:type="dxa" w:w="150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spacing w:after="40" w:before="40" w:line="276"/>
              <w:jc w:val="center"/>
            </w:pPr>
            <w:r>
              <w:rPr>
                <w:rFonts w:ascii="Calibri" w:cs="Calibri" w:eastAsia="Calibri" w:hAnsi="Calibri"/>
                <w:color w:val="404040"/>
                <w:sz w:val="22"/>
                <w:szCs w:val="22"/>
              </w:rPr>
              <w:t xml:space="preserve">9.4 / 6.1</w:t>
            </w:r>
          </w:p>
        </w:tc>
        <w:tc>
          <w:tcPr>
            <w:tcW w:type="dxa" w:w="170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spacing w:after="40" w:before="40" w:line="276"/>
            </w:pPr>
            <w:r>
              <w:rPr>
                <w:rFonts w:ascii="Calibri" w:cs="Calibri" w:eastAsia="Calibri" w:hAnsi="Calibri"/>
                <w:color w:val="404040"/>
                <w:sz w:val="22"/>
                <w:szCs w:val="22"/>
              </w:rPr>
              <w:t xml:space="preserve">Feasibility assessment by AY 2025–2026</w:t>
            </w:r>
          </w:p>
        </w:tc>
        <w:tc>
          <w:tcPr>
            <w:tcW w:type="dxa" w:w="1100"/>
            <w:tcBorders>
              <w:top w:val="single" w:color="BFBFBF" w:sz="4"/>
              <w:left w:val="single" w:color="BFBFBF" w:sz="4"/>
              <w:bottom w:val="single" w:color="BFBFBF" w:sz="4"/>
              <w:right w:val="single" w:color="BFBFBF" w:sz="4"/>
            </w:tcBorders>
            <w:shd w:fill="E8F1E1" w:val="clear"/>
            <w:tcMar>
              <w:top w:type="dxa" w:w="80"/>
              <w:left w:type="dxa" w:w="120"/>
              <w:bottom w:type="dxa" w:w="80"/>
              <w:right w:type="dxa" w:w="120"/>
            </w:tcMar>
            <w:vAlign w:val="center"/>
          </w:tcPr>
          <w:p>
            <w:pPr>
              <w:spacing w:after="40" w:before="40" w:line="276"/>
            </w:pPr>
            <w:r>
              <w:rPr>
                <w:rFonts w:ascii="Calibri" w:cs="Calibri" w:eastAsia="Calibri" w:hAnsi="Calibri"/>
                <w:b/>
                <w:bCs/>
                <w:color w:val="404040"/>
                <w:sz w:val="22"/>
                <w:szCs w:val="22"/>
              </w:rPr>
              <w:t xml:space="preserve">OPEN</w:t>
            </w:r>
          </w:p>
        </w:tc>
        <w:tc>
          <w:tcPr>
            <w:tcW w:type="dxa" w:w="186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spacing w:after="40" w:before="40" w:line="276"/>
            </w:pPr>
          </w:p>
        </w:tc>
      </w:tr>
      <w:tr>
        <w:tc>
          <w:tcPr>
            <w:tcW w:type="dxa" w:w="170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spacing w:after="40" w:before="40" w:line="276"/>
            </w:pPr>
            <w:r>
              <w:rPr>
                <w:rFonts w:ascii="Calibri" w:cs="Calibri" w:eastAsia="Calibri" w:hAnsi="Calibri"/>
                <w:b/>
                <w:bCs/>
                <w:color w:val="1F3A5F"/>
                <w:sz w:val="22"/>
                <w:szCs w:val="22"/>
              </w:rPr>
              <w:t xml:space="preserve">Year 3 / Year 4 Phase Review — Calendaring</w:t>
            </w:r>
          </w:p>
        </w:tc>
        <w:tc>
          <w:tcPr>
            <w:tcW w:type="dxa" w:w="320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spacing w:after="40" w:before="40" w:line="276"/>
            </w:pPr>
            <w:r>
              <w:rPr>
                <w:rFonts w:ascii="Calibri" w:cs="Calibri" w:eastAsia="Calibri" w:hAnsi="Calibri"/>
                <w:color w:val="404040"/>
                <w:sz w:val="22"/>
                <w:szCs w:val="22"/>
              </w:rPr>
              <w:t xml:space="preserve">Calendar the Year 3 / Year 4 (Phase 2) Legacy Phase Review and the Whole Curriculum (4-year) Legacy Review on EOC meeting agendas before end of calendar year 2024.</w:t>
            </w:r>
          </w:p>
        </w:tc>
        <w:tc>
          <w:tcPr>
            <w:tcW w:type="dxa" w:w="190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spacing w:after="40" w:before="40" w:line="276"/>
            </w:pPr>
            <w:r>
              <w:rPr>
                <w:rFonts w:ascii="Calibri" w:cs="Calibri" w:eastAsia="Calibri" w:hAnsi="Calibri"/>
                <w:color w:val="404040"/>
                <w:sz w:val="22"/>
                <w:szCs w:val="22"/>
              </w:rPr>
              <w:t xml:space="preserve">M. Francis, MD</w:t>
            </w:r>
          </w:p>
          <w:p>
            <w:pPr>
              <w:spacing w:after="40" w:before="40" w:line="276"/>
            </w:pPr>
            <w:r>
              <w:rPr>
                <w:rFonts w:ascii="Calibri" w:cs="Calibri" w:eastAsia="Calibri" w:hAnsi="Calibri"/>
                <w:color w:val="404040"/>
                <w:sz w:val="22"/>
                <w:szCs w:val="22"/>
              </w:rPr>
              <w:t xml:space="preserve">R. Soriano, MD</w:t>
            </w:r>
          </w:p>
          <w:p>
            <w:pPr>
              <w:spacing w:after="40" w:before="40" w:line="276"/>
            </w:pPr>
            <w:r>
              <w:rPr>
                <w:rFonts w:ascii="Calibri" w:cs="Calibri" w:eastAsia="Calibri" w:hAnsi="Calibri"/>
                <w:color w:val="404040"/>
                <w:sz w:val="22"/>
                <w:szCs w:val="22"/>
              </w:rPr>
              <w:t xml:space="preserve">R. Fallar, PhD</w:t>
            </w:r>
          </w:p>
        </w:tc>
        <w:tc>
          <w:tcPr>
            <w:tcW w:type="dxa" w:w="150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spacing w:after="40" w:before="40" w:line="276"/>
              <w:jc w:val="center"/>
            </w:pPr>
            <w:r>
              <w:rPr>
                <w:rFonts w:ascii="Calibri" w:cs="Calibri" w:eastAsia="Calibri" w:hAnsi="Calibri"/>
                <w:color w:val="404040"/>
                <w:sz w:val="22"/>
                <w:szCs w:val="22"/>
              </w:rPr>
              <w:t xml:space="preserve">8.3</w:t>
            </w:r>
          </w:p>
        </w:tc>
        <w:tc>
          <w:tcPr>
            <w:tcW w:type="dxa" w:w="170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spacing w:after="40" w:before="40" w:line="276"/>
            </w:pPr>
            <w:r>
              <w:rPr>
                <w:rFonts w:ascii="Calibri" w:cs="Calibri" w:eastAsia="Calibri" w:hAnsi="Calibri"/>
                <w:color w:val="404040"/>
                <w:sz w:val="22"/>
                <w:szCs w:val="22"/>
              </w:rPr>
              <w:t xml:space="preserve">Before December 31, 2024</w:t>
            </w:r>
          </w:p>
        </w:tc>
        <w:tc>
          <w:tcPr>
            <w:tcW w:type="dxa" w:w="1100"/>
            <w:tcBorders>
              <w:top w:val="single" w:color="BFBFBF" w:sz="4"/>
              <w:left w:val="single" w:color="BFBFBF" w:sz="4"/>
              <w:bottom w:val="single" w:color="BFBFBF" w:sz="4"/>
              <w:right w:val="single" w:color="BFBFBF" w:sz="4"/>
            </w:tcBorders>
            <w:shd w:fill="E8F1E1" w:val="clear"/>
            <w:tcMar>
              <w:top w:type="dxa" w:w="80"/>
              <w:left w:type="dxa" w:w="120"/>
              <w:bottom w:type="dxa" w:w="80"/>
              <w:right w:type="dxa" w:w="120"/>
            </w:tcMar>
            <w:vAlign w:val="center"/>
          </w:tcPr>
          <w:p>
            <w:pPr>
              <w:spacing w:after="40" w:before="40" w:line="276"/>
            </w:pPr>
            <w:r>
              <w:rPr>
                <w:rFonts w:ascii="Calibri" w:cs="Calibri" w:eastAsia="Calibri" w:hAnsi="Calibri"/>
                <w:b/>
                <w:bCs/>
                <w:color w:val="404040"/>
                <w:sz w:val="22"/>
                <w:szCs w:val="22"/>
              </w:rPr>
              <w:t xml:space="preserve">OPEN</w:t>
            </w:r>
          </w:p>
        </w:tc>
        <w:tc>
          <w:tcPr>
            <w:tcW w:type="dxa" w:w="186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spacing w:after="40" w:before="40" w:line="276"/>
            </w:pPr>
          </w:p>
        </w:tc>
      </w:tr>
    </w:tbl>
    <w:sectPr>
      <w:headerReference w:type="default" r:id="rId9"/>
      <w:footerReference w:type="default" r:id="rId10"/>
      <w:pgSz w:w="15840" w:h="12240" w:orient="landscape"/>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Calibri" w:cs="Calibri" w:eastAsia="Calibri" w:hAnsi="Calibri"/>
        <w:color w:val="404040"/>
        <w:sz w:val="18"/>
        <w:szCs w:val="18"/>
      </w:rPr>
      <w:t xml:space="preserve">Page </w:t>
    </w:r>
    <w:r>
      <w:rPr>
        <w:rFonts w:ascii="Calibri" w:cs="Calibri" w:eastAsia="Calibri" w:hAnsi="Calibri"/>
        <w:color w:val="404040"/>
        <w:sz w:val="18"/>
        <w:szCs w:val="18"/>
      </w:rPr>
      <w:fldChar w:fldCharType="begin"/>
      <w:instrText xml:space="preserve">PAGE</w:instrText>
      <w:fldChar w:fldCharType="separate"/>
      <w:fldChar w:fldCharType="end"/>
    </w:r>
    <w:r>
      <w:rPr>
        <w:rFonts w:ascii="Calibri" w:cs="Calibri" w:eastAsia="Calibri" w:hAnsi="Calibri"/>
        <w:color w:val="404040"/>
        <w:sz w:val="18"/>
        <w:szCs w:val="18"/>
      </w:rPr>
      <w:t xml:space="preserve"> of </w:t>
    </w:r>
    <w:r>
      <w:rPr>
        <w:rFonts w:ascii="Calibri" w:cs="Calibri" w:eastAsia="Calibri" w:hAnsi="Calibri"/>
        <w:color w:val="404040"/>
        <w:sz w:val="18"/>
        <w:szCs w:val="18"/>
      </w:rPr>
      <w:fldChar w:fldCharType="begin"/>
      <w:instrText xml:space="preserve">NUMPAGES</w:instrText>
      <w:fldChar w:fldCharType="separate"/>
      <w:fldChar w:fldCharType="end"/>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Calibri" w:cs="Calibri" w:eastAsia="Calibri" w:hAnsi="Calibri"/>
        <w:color w:val="404040"/>
        <w:sz w:val="18"/>
        <w:szCs w:val="18"/>
      </w:rPr>
      <w:t xml:space="preserve">Page </w:t>
    </w:r>
    <w:r>
      <w:rPr>
        <w:rFonts w:ascii="Calibri" w:cs="Calibri" w:eastAsia="Calibri" w:hAnsi="Calibri"/>
        <w:color w:val="404040"/>
        <w:sz w:val="18"/>
        <w:szCs w:val="18"/>
      </w:rPr>
      <w:fldChar w:fldCharType="begin"/>
      <w:instrText xml:space="preserve">PAGE</w:instrText>
      <w:fldChar w:fldCharType="separate"/>
      <w:fldChar w:fldCharType="end"/>
    </w:r>
    <w:r>
      <w:rPr>
        <w:rFonts w:ascii="Calibri" w:cs="Calibri" w:eastAsia="Calibri" w:hAnsi="Calibri"/>
        <w:color w:val="404040"/>
        <w:sz w:val="18"/>
        <w:szCs w:val="18"/>
      </w:rPr>
      <w:t xml:space="preserve"> of </w:t>
    </w:r>
    <w:r>
      <w:rPr>
        <w:rFonts w:ascii="Calibri" w:cs="Calibri" w:eastAsia="Calibri" w:hAnsi="Calibri"/>
        <w:color w:val="404040"/>
        <w:sz w:val="18"/>
        <w:szCs w:val="18"/>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1F3A5F" w:sz="6" w:space="4"/>
      </w:pBdr>
      <w:spacing w:after="40"/>
      <w:jc w:val="right"/>
    </w:pPr>
    <w:r>
      <w:rPr>
        <w:rFonts w:ascii="Calibri" w:cs="Calibri" w:eastAsia="Calibri" w:hAnsi="Calibri"/>
        <w:i/>
        <w:iCs/>
        <w:color w:val="1F3A5F"/>
        <w:sz w:val="18"/>
        <w:szCs w:val="18"/>
      </w:rPr>
      <w:t xml:space="preserve">EOC Meeting Minutes — September 20, 2024</w:t>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1F3A5F" w:sz="6" w:space="4"/>
      </w:pBdr>
      <w:spacing w:after="40"/>
      <w:jc w:val="right"/>
    </w:pPr>
    <w:r>
      <w:rPr>
        <w:rFonts w:ascii="Calibri" w:cs="Calibri" w:eastAsia="Calibri" w:hAnsi="Calibri"/>
        <w:i/>
        <w:iCs/>
        <w:color w:val="1F3A5F"/>
        <w:sz w:val="18"/>
        <w:szCs w:val="18"/>
      </w:rPr>
      <w:t xml:space="preserve">EOC Meeting Minutes — September 20, 2024</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color w:val="404040"/>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header" Target="header2.xml"/><Relationship Id="rId10" Type="http://schemas.openxmlformats.org/officeDocument/2006/relationships/footer" Target="footer2.xml"/><Relationship Id="rId11"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er2.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word/_rels/header2.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Office of Curricular Affairs, ISMMS</dc:creator>
  <cp:lastModifiedBy>Un-named</cp:lastModifiedBy>
  <cp:revision>1</cp:revision>
  <dcterms:created xsi:type="dcterms:W3CDTF">2026-05-25T14:53:32.608Z</dcterms:created>
  <dcterms:modified xsi:type="dcterms:W3CDTF">2026-05-25T14:53:32.609Z</dcterms:modified>
</cp:coreProperties>
</file>

<file path=docProps/custom.xml><?xml version="1.0" encoding="utf-8"?>
<Properties xmlns="http://schemas.openxmlformats.org/officeDocument/2006/custom-properties" xmlns:vt="http://schemas.openxmlformats.org/officeDocument/2006/docPropsVTypes"/>
</file>