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November 15,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November 15,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12:05 p.m. – 1:01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Michelle Francis, MD — Chair, Executive Oversight Committee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Confirmed at call to order by the Chair ("We have 11 people. I think we can."); see Section 2 for 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(GMT20241115-170241);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(10)</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Heading2"/>
        <w:spacing w:after="120" w:before="240"/>
      </w:pPr>
      <w:r>
        <w:rPr>
          <w:rFonts w:ascii="Calibri" w:cs="Calibri" w:eastAsia="Calibri" w:hAnsi="Calibri"/>
          <w:b/>
          <w:bCs/>
          <w:color w:val="2E5984"/>
          <w:sz w:val="26"/>
          <w:szCs w:val="26"/>
        </w:rPr>
        <w:t xml:space="preserve">Voting Members Absent (21)</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Avnish Deobhakta, MD — Faculty Educator at Large; Ophthalmology (seated July 26, 2024; left January 2025)</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Barbara Masi, PhD — Ex Officio; Director of Quality, Compliance, and Accreditation</w:t>
      </w:r>
    </w:p>
    <w:p>
      <w:pPr>
        <w:pStyle w:val="Heading2"/>
        <w:spacing w:after="120" w:before="240"/>
      </w:pPr>
      <w:r>
        <w:rPr>
          <w:rFonts w:ascii="Calibri" w:cs="Calibri" w:eastAsia="Calibri" w:hAnsi="Calibri"/>
          <w:b/>
          <w:bCs/>
          <w:color w:val="2E5984"/>
          <w:sz w:val="26"/>
          <w:szCs w:val="26"/>
        </w:rPr>
        <w:t xml:space="preserve">CA Leadership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Ravi Ramaswamy, MD — Chair, Curricular Integration Subcommittee</w:t>
      </w:r>
    </w:p>
    <w:p>
      <w:pPr>
        <w:pStyle w:val="ListParagraph"/>
        <w:numPr>
          <w:ilvl w:val="0"/>
          <w:numId w:val="2"/>
        </w:numPr>
        <w:spacing w:after="40" w:before="0" w:line="276"/>
      </w:pPr>
      <w:r>
        <w:rPr>
          <w:rFonts w:ascii="Calibri" w:cs="Calibri" w:eastAsia="Calibri" w:hAnsi="Calibri"/>
          <w:color w:val="404040"/>
          <w:sz w:val="22"/>
          <w:szCs w:val="22"/>
        </w:rPr>
        <w:t xml:space="preserve">Christopher Strother, MD — Chair, Clinical Competency Subcommittee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called to order by Dr. Michelle Francis, Chair, at approximately 12:05 p.m. ET on Zoom. The Chair noted that this was the second-to-last EOC meeting of the 2024 calendar year and confirmed that quorum had been achieved ("We have 11 people. I think we can."). Dr. Michael Leitman joined the meeting shortly after the call to order (greeted on the record by the Chair). The Chair welcomed Mr. Jamie Frost (M2 student representative) and the assembled committee.</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Quorum was confirmed on the record by the Chair at the call to order based on a count of 11 attendees, with Dr. Robert Fallar concurring ("Yep."). The committee proceeded immediately to the standing agenda. Note: the AY 2024–2025 EOC voting-seat roster is approximated; contemporaneous EOC sign-in records should be reconciled to confirm the precise voting-member count present.</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 comprising approval of the prior EOC meeting minutes followed by the Year 3 / Year 4 (Phase 2) Legacy Curriculum Review presented by Dr. Teddy Holzer — was confirmed by the Chair as circulated in advance. No agenda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Dr. Francis presented the minutes from the prior EOC meeting for approval, indicating that members who had reviewed them and had questions or objections should speak up, and that otherwise the Chair would record a unanimous vote of yes. No member raised concerns or objections. The Chair recorded the prior minutes as approved and immediately handed the meeting to Dr. Holzer for the curriculum review presentation.</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prior EOC meeting were approved by unanimous consent.</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Substantive subcommittee work was incorporated directly into Item 6.2 of this meeting: the Year 3 / Year 4 (Phase 2) Legacy Curriculum Review presented by Dr. Teddy Holzer, Chair of the Clinical Curriculum Subcommittee (CCS), reflected the CCS workstream on this review. No standalone subcommittee report-outs were delivered.</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This meeting continued the AY 2024–2025 Legacy curriculum review cycle initiated at the September 20, 2024 EOC meeting (Year 1 / Year 2 Phase Review). Phase 2 (Year 3 / Year 4) was the focus of this meeting; the Whole Curriculum Review of the four-year Legacy curriculum is calendared for the next EOC meeting on December 6, 2024 (subsequently moved to December 13, 2024).</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Prior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prior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Chair on the standing agenda; no separate mover was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Chair invited objections; none were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Prior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Year 3 / Year 4 (Phase 2) Legacy Curriculum Review</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Teddy Holzer, MD (Chair, Clinical Curriculum Subcommittee)</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8.3 — Curricular Design, Review, Revision, Improvement; 8.4 — Program Evaluation; 6.1 — Program and Learning Objectives (MEPO alignment); 6.2 — Required Clinical Experiences; 8.7 — Comparability of Education / Assessment across instructional sites; 9.4 — Assessment System; 9.7 — Formative Assessment and Feedback</w:t>
      </w:r>
    </w:p>
    <w:p>
      <w:pPr>
        <w:pStyle w:val="Heading3"/>
        <w:spacing w:after="80" w:before="180"/>
      </w:pPr>
      <w:r>
        <w:rPr>
          <w:rFonts w:ascii="Calibri" w:cs="Calibri" w:eastAsia="Calibri" w:hAnsi="Calibri"/>
          <w:b/>
          <w:bCs/>
          <w:i/>
          <w:iCs/>
          <w:color w:val="404040"/>
          <w:sz w:val="22"/>
          <w:szCs w:val="22"/>
        </w:rPr>
        <w:t xml:space="preserve">Framing and Methodology</w:t>
      </w:r>
    </w:p>
    <w:p>
      <w:pPr>
        <w:spacing w:after="120" w:before="0" w:line="276"/>
      </w:pPr>
      <w:r>
        <w:rPr>
          <w:rFonts w:ascii="Calibri" w:cs="Calibri" w:eastAsia="Calibri" w:hAnsi="Calibri"/>
          <w:color w:val="404040"/>
          <w:sz w:val="22"/>
          <w:szCs w:val="22"/>
        </w:rPr>
        <w:t xml:space="preserve">Dr. Teddy Holzer presented the Year 3 / Year 4 (Phase 2) Legacy Curriculum Review, the second of the AY 2024–2025 Legacy curriculum reviews (Year 1 / Year 2 was reviewed at the September 20, 2024 EOC meeting). Dr. Holzer noted that the review represents the final Legacy Phase 2 evaluation prior to transition to ASCEND, and emphasized that it forms part of the EOC's ongoing CQI and governance processes under LCME Standard 8 Element 8.3.</w:t>
      </w:r>
    </w:p>
    <w:p>
      <w:pPr>
        <w:spacing w:after="120" w:before="0" w:line="276"/>
      </w:pPr>
      <w:r>
        <w:rPr>
          <w:rFonts w:ascii="Calibri" w:cs="Calibri" w:eastAsia="Calibri" w:hAnsi="Calibri"/>
          <w:color w:val="404040"/>
          <w:sz w:val="22"/>
          <w:szCs w:val="22"/>
        </w:rPr>
        <w:t xml:space="preserve">Dr. Holzer organized the review around eight framing questions covering clerkship structure and duration, MEPO alignment, phase-one preparation for clerkships, pre-clerkship/clerkship integration, breadth and depth of clinical experiences, workload, competency demonstration, cross-site outcome equity, and Match/residency preparedness. The written report accompanying the presentation contained detailed data tables; Dr. Holzer presented summary data and recommendations and paused throughout for member discussion.</w:t>
      </w:r>
    </w:p>
    <w:p>
      <w:pPr>
        <w:pStyle w:val="Heading3"/>
        <w:spacing w:after="80" w:before="180"/>
      </w:pPr>
      <w:r>
        <w:rPr>
          <w:rFonts w:ascii="Calibri" w:cs="Calibri" w:eastAsia="Calibri" w:hAnsi="Calibri"/>
          <w:b/>
          <w:bCs/>
          <w:i/>
          <w:iCs/>
          <w:color w:val="404040"/>
          <w:sz w:val="22"/>
          <w:szCs w:val="22"/>
        </w:rPr>
        <w:t xml:space="preserve">Clerkship Structure and Duration (Framing Question 1)</w:t>
      </w:r>
    </w:p>
    <w:p>
      <w:pPr>
        <w:spacing w:after="120" w:before="0" w:line="276"/>
      </w:pPr>
      <w:r>
        <w:rPr>
          <w:rFonts w:ascii="Calibri" w:cs="Calibri" w:eastAsia="Calibri" w:hAnsi="Calibri"/>
          <w:color w:val="404040"/>
          <w:sz w:val="22"/>
          <w:szCs w:val="22"/>
        </w:rPr>
        <w:t xml:space="preserve">Dr. Holzer reported that Legacy clerkship durations are by and large similar to those of peer institutions, with the exception of psychiatry: the Legacy 4-week psychiatry clerkship is in line with the national peer median, while the planned 6-week ASCEND duration is slightly longer than peers. Recommendation: continue monitoring national trends and outcomes of the first ASCEND cohort to assess whether durations remain sufficient to meet program outcomes.</w:t>
      </w:r>
    </w:p>
    <w:p>
      <w:pPr>
        <w:pStyle w:val="Heading3"/>
        <w:spacing w:after="80" w:before="180"/>
      </w:pPr>
      <w:r>
        <w:rPr>
          <w:rFonts w:ascii="Calibri" w:cs="Calibri" w:eastAsia="Calibri" w:hAnsi="Calibri"/>
          <w:b/>
          <w:bCs/>
          <w:i/>
          <w:iCs/>
          <w:color w:val="404040"/>
          <w:sz w:val="22"/>
          <w:szCs w:val="22"/>
        </w:rPr>
        <w:t xml:space="preserve">MEPO Alignment (Framing Question 2)</w:t>
      </w:r>
    </w:p>
    <w:p>
      <w:pPr>
        <w:spacing w:after="120" w:before="0" w:line="276"/>
      </w:pPr>
      <w:r>
        <w:rPr>
          <w:rFonts w:ascii="Calibri" w:cs="Calibri" w:eastAsia="Calibri" w:hAnsi="Calibri"/>
          <w:color w:val="404040"/>
          <w:sz w:val="22"/>
          <w:szCs w:val="22"/>
        </w:rPr>
        <w:t xml:space="preserve">Dr. Holzer presented a course-by-MEPO mapping table for Phase 2 courses and clerkships, identifying four MEPOs taught with lower density across Phase 2: scholarly product creation; situational and self-awareness; reflection on personal, professional, and educational needs; and identification of solutions to failures in care quality and equity. Dr. Holzer indicated that ASCEND Phase 2 addresses these gaps through clinical curriculum mentor (CCM) reflection sessions during CAMP weeks, an expanded patient safety and quality improvement curriculum within the surgery clerkship, and the longitudinal THINQ scholarly project.</w:t>
      </w:r>
    </w:p>
    <w:p>
      <w:pPr>
        <w:spacing w:after="120" w:before="0" w:line="276"/>
      </w:pPr>
      <w:r>
        <w:rPr>
          <w:rFonts w:ascii="Calibri" w:cs="Calibri" w:eastAsia="Calibri" w:hAnsi="Calibri"/>
          <w:color w:val="404040"/>
          <w:sz w:val="22"/>
          <w:szCs w:val="22"/>
        </w:rPr>
        <w:t xml:space="preserve">Dr. Barbara Masi asked whether the green-shaded MEPO-coverage table reflected only frequency of inclusion or also depth of coverage, and whether differential shading could indicate which clerkships teach a MEPO more intensively. Dr. Robert Fallar clarified that the current data captures clerkship-level coverage based on clerkship objectives mapped to MEPOs but does not currently extend to session-level mapping inside the clerkships, which is more difficult to operationalize.</w:t>
      </w:r>
    </w:p>
    <w:p>
      <w:pPr>
        <w:spacing w:after="120" w:before="0" w:line="276"/>
      </w:pPr>
      <w:r>
        <w:rPr>
          <w:rFonts w:ascii="Calibri" w:cs="Calibri" w:eastAsia="Calibri" w:hAnsi="Calibri"/>
          <w:color w:val="404040"/>
          <w:sz w:val="22"/>
          <w:szCs w:val="22"/>
        </w:rPr>
        <w:t xml:space="preserve">Dr. Mary Rojas added that the table likely underestimates student scholarly engagement: although Phase 2 courses and clerkships do not directly teach toward the scholarly-product MEPO, all students complete a scholarly graduation requirement, with the majority engaging in clinical research that is necessarily clinical in field (and therefore connected to medicine), even if not curricular per se. Dr. Holzer acknowledged that the table focuses on curriculum-wide teaching applicable to all students. Dr. Kris Alpi added in chat (and verbally confirmed) that evidence-based medicine training touches on scholarly skills but does not fully deliver the relevant MEPO.</w:t>
      </w:r>
    </w:p>
    <w:p>
      <w:pPr>
        <w:pStyle w:val="Heading3"/>
        <w:spacing w:after="80" w:before="180"/>
      </w:pPr>
      <w:r>
        <w:rPr>
          <w:rFonts w:ascii="Calibri" w:cs="Calibri" w:eastAsia="Calibri" w:hAnsi="Calibri"/>
          <w:b/>
          <w:bCs/>
          <w:i/>
          <w:iCs/>
          <w:color w:val="404040"/>
          <w:sz w:val="22"/>
          <w:szCs w:val="22"/>
        </w:rPr>
        <w:t xml:space="preserve">Member Question — Clerkship Duration Across Schools</w:t>
      </w:r>
    </w:p>
    <w:p>
      <w:pPr>
        <w:spacing w:after="120" w:before="0" w:line="276"/>
      </w:pPr>
      <w:r>
        <w:rPr>
          <w:rFonts w:ascii="Calibri" w:cs="Calibri" w:eastAsia="Calibri" w:hAnsi="Calibri"/>
          <w:color w:val="404040"/>
          <w:sz w:val="22"/>
          <w:szCs w:val="22"/>
        </w:rPr>
        <w:t xml:space="preserve">Dr. Francis asked whether most medical schools have moved to a uniform distribution of clerkship lengths (as ASCEND is doing) or whether discipline-specific durations remain the norm. Dr. Holzer responded that the Framework Committee had reviewed peer practice in depth: some schools (e.g., Washington) use uniform clerkship lengths similar to ASCEND, but a large number continue to use discipline-variable lengths, with no empirical evidence supporting one approach over the other. The Framework Committee selected uniform durations to produce a more repeatable student experience across the 12-month clerkship year.</w:t>
      </w:r>
    </w:p>
    <w:p>
      <w:pPr>
        <w:pStyle w:val="Heading3"/>
        <w:spacing w:after="80" w:before="180"/>
      </w:pPr>
      <w:r>
        <w:rPr>
          <w:rFonts w:ascii="Calibri" w:cs="Calibri" w:eastAsia="Calibri" w:hAnsi="Calibri"/>
          <w:b/>
          <w:bCs/>
          <w:i/>
          <w:iCs/>
          <w:color w:val="404040"/>
          <w:sz w:val="22"/>
          <w:szCs w:val="22"/>
        </w:rPr>
        <w:t xml:space="preserve">Phase-One Preparation for Clerkships (Framing Question 3)</w:t>
      </w:r>
    </w:p>
    <w:p>
      <w:pPr>
        <w:spacing w:after="120" w:before="0" w:line="276"/>
      </w:pPr>
      <w:r>
        <w:rPr>
          <w:rFonts w:ascii="Calibri" w:cs="Calibri" w:eastAsia="Calibri" w:hAnsi="Calibri"/>
          <w:color w:val="404040"/>
          <w:sz w:val="22"/>
          <w:szCs w:val="22"/>
        </w:rPr>
        <w:t xml:space="preserve">Dr. Holzer presented GQ-survey data on student-reported preparation in foundational science areas, showing improvement across most domains from 2020 to 2024, with biochemistry, biostatistics/epidemiology, and genetics still slightly below national averages. Recommendation: continue to develop additional resources to support students in these three areas.</w:t>
      </w:r>
    </w:p>
    <w:p>
      <w:pPr>
        <w:spacing w:after="120" w:before="0" w:line="276"/>
      </w:pPr>
      <w:r>
        <w:rPr>
          <w:rFonts w:ascii="Calibri" w:cs="Calibri" w:eastAsia="Calibri" w:hAnsi="Calibri"/>
          <w:color w:val="404040"/>
          <w:sz w:val="22"/>
          <w:szCs w:val="22"/>
        </w:rPr>
        <w:t xml:space="preserve">Dr. Holzer also presented clerkship-director-reported preparation in core competencies for the first three months of the academic year. Written documentation was identified as a notable gap, with over 20% of clerkship directors rating students as less prepared than necessary in this competency. Differential diagnosis was identified as a secondary area for further development. Recommendation (item 10 in the written report): enhance clinical documentation as a competency in the pre-clerkship curriculum, building on POM-team work already underway with Dr. Christopher Strother to add summative documentation assessments in Phase 1.</w:t>
      </w:r>
    </w:p>
    <w:p>
      <w:pPr>
        <w:spacing w:after="120" w:before="0" w:line="276"/>
      </w:pPr>
      <w:r>
        <w:rPr>
          <w:rFonts w:ascii="Calibri" w:cs="Calibri" w:eastAsia="Calibri" w:hAnsi="Calibri"/>
          <w:color w:val="404040"/>
          <w:sz w:val="22"/>
          <w:szCs w:val="22"/>
        </w:rPr>
        <w:t xml:space="preserve">Dr. Barbara Masi observed that approximately 20% of clerkship directors also reported students as less prepared than necessary in growth mindset, and asked whether this should be added as a focus area. Dr. Holzer agreed and noted that growth mindset is a major focus of the ASCEND curriculum through the work of clinical competency mentors (CCMs) and career and professional development (CaPD) advisors across all three phases.</w:t>
      </w:r>
    </w:p>
    <w:p>
      <w:pPr>
        <w:pStyle w:val="Heading3"/>
        <w:spacing w:after="80" w:before="180"/>
      </w:pPr>
      <w:r>
        <w:rPr>
          <w:rFonts w:ascii="Calibri" w:cs="Calibri" w:eastAsia="Calibri" w:hAnsi="Calibri"/>
          <w:b/>
          <w:bCs/>
          <w:i/>
          <w:iCs/>
          <w:color w:val="404040"/>
          <w:sz w:val="22"/>
          <w:szCs w:val="22"/>
        </w:rPr>
        <w:t xml:space="preserve">Pre-Clerkship / Clerkship Integration (Framing Question 4)</w:t>
      </w:r>
    </w:p>
    <w:p>
      <w:pPr>
        <w:spacing w:after="120" w:before="0" w:line="276"/>
      </w:pPr>
      <w:r>
        <w:rPr>
          <w:rFonts w:ascii="Calibri" w:cs="Calibri" w:eastAsia="Calibri" w:hAnsi="Calibri"/>
          <w:color w:val="404040"/>
          <w:sz w:val="22"/>
          <w:szCs w:val="22"/>
        </w:rPr>
        <w:t xml:space="preserve">Dr. Holzer presented GQ-survey data showing notable improvement from 2020 to 2024 in both directions of integration — how well basic science course work illustrates clinical relevance, and how well clinical experiences integrate basic science content. Recommendation: continue current integration efforts across Phase 1 and Phase 2.</w:t>
      </w:r>
    </w:p>
    <w:p>
      <w:pPr>
        <w:pStyle w:val="Heading3"/>
        <w:spacing w:after="80" w:before="180"/>
      </w:pPr>
      <w:r>
        <w:rPr>
          <w:rFonts w:ascii="Calibri" w:cs="Calibri" w:eastAsia="Calibri" w:hAnsi="Calibri"/>
          <w:b/>
          <w:bCs/>
          <w:i/>
          <w:iCs/>
          <w:color w:val="404040"/>
          <w:sz w:val="22"/>
          <w:szCs w:val="22"/>
        </w:rPr>
        <w:t xml:space="preserve">Required Clinical Experiences — Breadth and Depth (Framing Question 5)</w:t>
      </w:r>
    </w:p>
    <w:p>
      <w:pPr>
        <w:spacing w:after="120" w:before="0" w:line="276"/>
      </w:pPr>
      <w:r>
        <w:rPr>
          <w:rFonts w:ascii="Calibri" w:cs="Calibri" w:eastAsia="Calibri" w:hAnsi="Calibri"/>
          <w:color w:val="404040"/>
          <w:sz w:val="22"/>
          <w:szCs w:val="22"/>
        </w:rPr>
        <w:t xml:space="preserve">Dr. Holzer presented data on Required Clinical Experience (RCE) completion rates by clerkship, showing that most RCEs have very low Alternate Learning Experience (ALE) counts. Three RCEs were flagged: "ethical dilemma," "indwelling catheter insertion (male)," and "airway management techniques."</w:t>
      </w:r>
    </w:p>
    <w:p>
      <w:pPr>
        <w:spacing w:after="120" w:before="0" w:line="276"/>
      </w:pPr>
      <w:r>
        <w:rPr>
          <w:rFonts w:ascii="Calibri" w:cs="Calibri" w:eastAsia="Calibri" w:hAnsi="Calibri"/>
          <w:color w:val="404040"/>
          <w:sz w:val="22"/>
          <w:szCs w:val="22"/>
        </w:rPr>
        <w:t xml:space="preserve">For "ethical dilemma" and "airway management," Dr. Holzer described a likely communication/logging disconnect: both are taught and assessed in the surgery clerkship through case conferences and simulated-patient experiences, but students may not be logging them as RCE completions. Surgery clerkship directors have been engaged to align RCE logging with how these experiences are actually delivered.</w:t>
      </w:r>
    </w:p>
    <w:p>
      <w:pPr>
        <w:spacing w:after="120" w:before="0" w:line="276"/>
      </w:pPr>
      <w:r>
        <w:rPr>
          <w:rFonts w:ascii="Calibri" w:cs="Calibri" w:eastAsia="Calibri" w:hAnsi="Calibri"/>
          <w:color w:val="404040"/>
          <w:sz w:val="22"/>
          <w:szCs w:val="22"/>
        </w:rPr>
        <w:t xml:space="preserve">For indwelling urinary catheter insertion (male), seven students did not complete the experience on an actual patient (with simulation as their alternate). Recommendation: allocate resources to improve on-patient completion of this RCE.</w:t>
      </w:r>
    </w:p>
    <w:p>
      <w:pPr>
        <w:spacing w:after="120" w:before="0" w:line="276"/>
      </w:pPr>
      <w:r>
        <w:rPr>
          <w:rFonts w:ascii="Calibri" w:cs="Calibri" w:eastAsia="Calibri" w:hAnsi="Calibri"/>
          <w:color w:val="404040"/>
          <w:sz w:val="22"/>
          <w:szCs w:val="22"/>
        </w:rPr>
        <w:t xml:space="preserve">Dr. Francis asked clarifying questions about the typical clinical setting in which male indwelling catheter placement is performed (awake vs. anesthetized patient). Dr. Holzer indicated his impression that most are done in the operating room with the patient under anesthesia, but that this level of data has not been formally collected.</w:t>
      </w:r>
    </w:p>
    <w:p>
      <w:pPr>
        <w:pStyle w:val="Heading3"/>
        <w:spacing w:after="80" w:before="180"/>
      </w:pPr>
      <w:r>
        <w:rPr>
          <w:rFonts w:ascii="Calibri" w:cs="Calibri" w:eastAsia="Calibri" w:hAnsi="Calibri"/>
          <w:b/>
          <w:bCs/>
          <w:i/>
          <w:iCs/>
          <w:color w:val="404040"/>
          <w:sz w:val="22"/>
          <w:szCs w:val="22"/>
        </w:rPr>
        <w:t xml:space="preserve">Workload and Satisfaction (Framing Question 6)</w:t>
      </w:r>
    </w:p>
    <w:p>
      <w:pPr>
        <w:spacing w:after="120" w:before="0" w:line="276"/>
      </w:pPr>
      <w:r>
        <w:rPr>
          <w:rFonts w:ascii="Calibri" w:cs="Calibri" w:eastAsia="Calibri" w:hAnsi="Calibri"/>
          <w:color w:val="404040"/>
          <w:sz w:val="22"/>
          <w:szCs w:val="22"/>
        </w:rPr>
        <w:t xml:space="preserve">Dr. Holzer reported that satisfaction with clerkship workload is generally high. The previously flagged OB/GYN workload-satisfaction concern is now at or above the CQI threshold. Recommendation: continue monitoring across clerkships.</w:t>
      </w:r>
    </w:p>
    <w:p>
      <w:pPr>
        <w:pStyle w:val="Heading3"/>
        <w:spacing w:after="80" w:before="180"/>
      </w:pPr>
      <w:r>
        <w:rPr>
          <w:rFonts w:ascii="Calibri" w:cs="Calibri" w:eastAsia="Calibri" w:hAnsi="Calibri"/>
          <w:b/>
          <w:bCs/>
          <w:i/>
          <w:iCs/>
          <w:color w:val="404040"/>
          <w:sz w:val="22"/>
          <w:szCs w:val="22"/>
        </w:rPr>
        <w:t xml:space="preserve">Competency Demonstration (Framing Question 7) — Shelf Exams, Skills, Grades</w:t>
      </w:r>
    </w:p>
    <w:p>
      <w:pPr>
        <w:spacing w:after="120" w:before="0" w:line="276"/>
      </w:pPr>
      <w:r>
        <w:rPr>
          <w:rFonts w:ascii="Calibri" w:cs="Calibri" w:eastAsia="Calibri" w:hAnsi="Calibri"/>
          <w:color w:val="404040"/>
          <w:sz w:val="22"/>
          <w:szCs w:val="22"/>
        </w:rPr>
        <w:t xml:space="preserve">Dr. Holzer presented NBME clinical subject exam (shelf) scores by clerkship for AY 2020–2021 vs. AY 2023–2024, alongside national means. Statistically significant decreases were observed in approximately five clerkships, which Dr. Holzer attributed to the AY 2021–2022 grading-framework change that de-emphasized raw shelf scores in favor of a pass-threshold criterion. Shelf failures are roughly comparable to pre-pandemic levels, and ISMMS scores remain at or near national means.</w:t>
      </w:r>
    </w:p>
    <w:p>
      <w:pPr>
        <w:spacing w:after="120" w:before="0" w:line="276"/>
      </w:pPr>
      <w:r>
        <w:rPr>
          <w:rFonts w:ascii="Calibri" w:cs="Calibri" w:eastAsia="Calibri" w:hAnsi="Calibri"/>
          <w:color w:val="404040"/>
          <w:sz w:val="22"/>
          <w:szCs w:val="22"/>
        </w:rPr>
        <w:t xml:space="preserve">Dr. Holzer reviewed NBME physician-task subscores (foundational science concepts, diagnosis, management/health-maintenance/pharmacotherapy), which generally track national averages with minor deviations.</w:t>
      </w:r>
    </w:p>
    <w:p>
      <w:pPr>
        <w:spacing w:after="120" w:before="0" w:line="276"/>
      </w:pPr>
      <w:r>
        <w:rPr>
          <w:rFonts w:ascii="Calibri" w:cs="Calibri" w:eastAsia="Calibri" w:hAnsi="Calibri"/>
          <w:color w:val="404040"/>
          <w:sz w:val="22"/>
          <w:szCs w:val="22"/>
        </w:rPr>
        <w:t xml:space="preserve">Dr. Holzer described the pre-pandemic COMPASS capstone clinical skills assessment, which has not been in place during the Legacy phase under review, and which is being reinstated for ASCEND. Within-clerkship history and physical examination assessments continue to show very high first-attempt competency. Year 3 clerkship grades show ≥94–95% honors achievement across clerkships, with one student receiving a fail grade in neurology due to two NBME scores below competency.</w:t>
      </w:r>
    </w:p>
    <w:p>
      <w:pPr>
        <w:pStyle w:val="Heading3"/>
        <w:spacing w:after="80" w:before="180"/>
      </w:pPr>
      <w:r>
        <w:rPr>
          <w:rFonts w:ascii="Calibri" w:cs="Calibri" w:eastAsia="Calibri" w:hAnsi="Calibri"/>
          <w:b/>
          <w:bCs/>
          <w:i/>
          <w:iCs/>
          <w:color w:val="404040"/>
          <w:sz w:val="22"/>
          <w:szCs w:val="22"/>
        </w:rPr>
        <w:t xml:space="preserve">Member Discussion — Grading Framework and Residency Outcomes</w:t>
      </w:r>
    </w:p>
    <w:p>
      <w:pPr>
        <w:spacing w:after="120" w:before="0" w:line="276"/>
      </w:pPr>
      <w:r>
        <w:rPr>
          <w:rFonts w:ascii="Calibri" w:cs="Calibri" w:eastAsia="Calibri" w:hAnsi="Calibri"/>
          <w:color w:val="404040"/>
          <w:sz w:val="22"/>
          <w:szCs w:val="22"/>
        </w:rPr>
        <w:t xml:space="preserve">Dr. Richard Stern asked whether the high proportion of honors grades across clerkships risks diluting the meaning of an honors grade as an objective metric for residency program directors, particularly as Step 1 is now pass/fail. Dr. Holzer acknowledged the concern as one the EOC has discussed extensively, and reported that the first two post-grading-change classes have continued to receive a large number of interviews and to match well at top-tier institutions across specialties.</w:t>
      </w:r>
    </w:p>
    <w:p>
      <w:pPr>
        <w:spacing w:after="120" w:before="0" w:line="276"/>
      </w:pPr>
      <w:r>
        <w:rPr>
          <w:rFonts w:ascii="Calibri" w:cs="Calibri" w:eastAsia="Calibri" w:hAnsi="Calibri"/>
          <w:color w:val="404040"/>
          <w:sz w:val="22"/>
          <w:szCs w:val="22"/>
        </w:rPr>
        <w:t xml:space="preserve">Dr. Holzer added that the institutional approach is to support students in clearing the interview-screen threshold and to let the quality of the applicant carry the interview itself. The two-tier (honors / pass) system is intended to preserve the ability for the school to flag struggling students for residency programs without rank-ordering high-performing students against one another.</w:t>
      </w:r>
    </w:p>
    <w:p>
      <w:pPr>
        <w:spacing w:after="120" w:before="0" w:line="276"/>
      </w:pPr>
      <w:r>
        <w:rPr>
          <w:rFonts w:ascii="Calibri" w:cs="Calibri" w:eastAsia="Calibri" w:hAnsi="Calibri"/>
          <w:color w:val="404040"/>
          <w:sz w:val="22"/>
          <w:szCs w:val="22"/>
        </w:rPr>
        <w:t xml:space="preserve">Dr. Stern indicated that he raises the concern because he has heard directly from a sizable number of students — including a few months ago at the M2 "Fair for Specialties" event — that students are concerned about losing the ability to objectively distinguish themselves in their applications, particularly for more competitive or niche specialties. He recommended tracking match outcomes by specialty over the next five or so years to identify any emerging trends.</w:t>
      </w:r>
    </w:p>
    <w:p>
      <w:pPr>
        <w:spacing w:after="120" w:before="0" w:line="276"/>
      </w:pPr>
      <w:r>
        <w:rPr>
          <w:rFonts w:ascii="Calibri" w:cs="Calibri" w:eastAsia="Calibri" w:hAnsi="Calibri"/>
          <w:color w:val="404040"/>
          <w:sz w:val="22"/>
          <w:szCs w:val="22"/>
        </w:rPr>
        <w:t xml:space="preserve">Dr. Robert Fallar reported that the AAMC meeting the prior week extensively discussed a national move toward holistic application review, in part because grading frameworks vary widely across the 150+ U.S. medical schools and a single-metric comparison is no longer feasible. He also noted that during the design of the criterion-referenced grading system, the GME side had requested that the school continue to flag struggling students even if most students earn honors — the rationale for retaining the two-tier (honors/pass) structure.</w:t>
      </w:r>
    </w:p>
    <w:p>
      <w:pPr>
        <w:spacing w:after="120" w:before="0" w:line="276"/>
      </w:pPr>
      <w:r>
        <w:rPr>
          <w:rFonts w:ascii="Calibri" w:cs="Calibri" w:eastAsia="Calibri" w:hAnsi="Calibri"/>
          <w:color w:val="404040"/>
          <w:sz w:val="22"/>
          <w:szCs w:val="22"/>
        </w:rPr>
        <w:t xml:space="preserve">Dr. Brian A. Coakley added that, in his view, the long-term effects of the grading change on application review behavior will need ongoing monitoring; some reviewers will treat "everybody gets honors" as effectively a pass grade, while others will continue to evaluate the underlying portfolio. Dr. Holzer recommended that the data point most useful to track over the next several years is the ratio of interviews received to applications submitted, by specialty.</w:t>
      </w:r>
    </w:p>
    <w:p>
      <w:pPr>
        <w:spacing w:after="120" w:before="0" w:line="276"/>
      </w:pPr>
      <w:r>
        <w:rPr>
          <w:rFonts w:ascii="Calibri" w:cs="Calibri" w:eastAsia="Calibri" w:hAnsi="Calibri"/>
          <w:color w:val="404040"/>
          <w:sz w:val="22"/>
          <w:szCs w:val="22"/>
        </w:rPr>
        <w:t xml:space="preserve">Dr. Mary Rojas added (in chat) that letters of recommendation, advocacy, and leadership remain key differentiating factors in the application beyond the grade.</w:t>
      </w:r>
    </w:p>
    <w:p>
      <w:pPr>
        <w:pStyle w:val="Heading3"/>
        <w:spacing w:after="80" w:before="180"/>
      </w:pPr>
      <w:r>
        <w:rPr>
          <w:rFonts w:ascii="Calibri" w:cs="Calibri" w:eastAsia="Calibri" w:hAnsi="Calibri"/>
          <w:b/>
          <w:bCs/>
          <w:i/>
          <w:iCs/>
          <w:color w:val="404040"/>
          <w:sz w:val="22"/>
          <w:szCs w:val="22"/>
        </w:rPr>
        <w:t xml:space="preserve">Member Discussion — Written Documentation and Narrative Assessment Quality</w:t>
      </w:r>
    </w:p>
    <w:p>
      <w:pPr>
        <w:spacing w:after="120" w:before="0" w:line="276"/>
      </w:pPr>
      <w:r>
        <w:rPr>
          <w:rFonts w:ascii="Calibri" w:cs="Calibri" w:eastAsia="Calibri" w:hAnsi="Calibri"/>
          <w:color w:val="404040"/>
          <w:sz w:val="22"/>
          <w:szCs w:val="22"/>
        </w:rPr>
        <w:t xml:space="preserve">Dr. Tonia Kim raised the question of whether students see the clerkship-director-reported finding that ~20% of students are not yet at the expected level in written documentation, and suggested that exposing students to this data could help them prioritize the skill. Dr. Holzer agreed and described two complementary approaches: (i) incorporating write-ups into summative assessments within clerkships to elevate their weight, and (ii) using CAMP-week intercession time in ASCEND to orient students to specialty-specific note conventions (e.g., obstetrics/gynecology, pediatrics, psychiatry) that differ from the undifferentiated note structure taught in ASM and POM.</w:t>
      </w:r>
    </w:p>
    <w:p>
      <w:pPr>
        <w:spacing w:after="120" w:before="0" w:line="276"/>
      </w:pPr>
      <w:r>
        <w:rPr>
          <w:rFonts w:ascii="Calibri" w:cs="Calibri" w:eastAsia="Calibri" w:hAnsi="Calibri"/>
          <w:color w:val="404040"/>
          <w:sz w:val="22"/>
          <w:szCs w:val="22"/>
        </w:rPr>
        <w:t xml:space="preserve">Dr. Christopher Strother concurred and described POM 1 improvements already underway, including more deliberate documentation rubrics, consistency across small groups, and planned opportunities in POM 2 and POM 3 to introduce specialty-specific complexity.</w:t>
      </w:r>
    </w:p>
    <w:p>
      <w:pPr>
        <w:spacing w:after="120" w:before="0" w:line="276"/>
      </w:pPr>
      <w:r>
        <w:rPr>
          <w:rFonts w:ascii="Calibri" w:cs="Calibri" w:eastAsia="Calibri" w:hAnsi="Calibri"/>
          <w:color w:val="404040"/>
          <w:sz w:val="22"/>
          <w:szCs w:val="22"/>
        </w:rPr>
        <w:t xml:space="preserve">Dr. Barbara Masi extended the discussion to narrative assessment quality. She described findings from prior content analyses in which student narratives in clerkship evaluation forms often lack the differentiating substance that residency directors rely on, even when numeric ratings are uniformly high. Bland narratives propagated to the MSPE can disadvantage students in residency review. Dr. Masi recommended a focused preceptor-development workstream addressing (i) ensuring all students have the opportunity to demonstrate competency during the rotation; (ii) providing structured prompts that help preceptors record evidence-rich notes during the rotation; and (iii) supporting preceptors in using those notes when writing the summative evaluation. Dr. Masi reported that this kind of workstream can be implemented through brief asynchronous or synchronous preceptor-development modules and can substantially improve narrative quality with modest preceptor time investment.</w:t>
      </w:r>
    </w:p>
    <w:p>
      <w:pPr>
        <w:spacing w:after="120" w:before="0" w:line="276"/>
      </w:pPr>
      <w:r>
        <w:rPr>
          <w:rFonts w:ascii="Calibri" w:cs="Calibri" w:eastAsia="Calibri" w:hAnsi="Calibri"/>
          <w:color w:val="404040"/>
          <w:sz w:val="22"/>
          <w:szCs w:val="22"/>
        </w:rPr>
        <w:t xml:space="preserve">Dr. Holzer agreed and indicated that this is a substantial area for growth that the CCS will engage with the Office of Curricular Affairs faculty development team. Dr. Masi confirmed that professional-development materials on this question exist.</w:t>
      </w:r>
    </w:p>
    <w:p>
      <w:pPr>
        <w:pStyle w:val="Heading3"/>
        <w:spacing w:after="80" w:before="180"/>
      </w:pPr>
      <w:r>
        <w:rPr>
          <w:rFonts w:ascii="Calibri" w:cs="Calibri" w:eastAsia="Calibri" w:hAnsi="Calibri"/>
          <w:b/>
          <w:bCs/>
          <w:i/>
          <w:iCs/>
          <w:color w:val="404040"/>
          <w:sz w:val="22"/>
          <w:szCs w:val="22"/>
        </w:rPr>
        <w:t xml:space="preserve">Cross-Site Outcome Equity (Framing Question 8)</w:t>
      </w:r>
    </w:p>
    <w:p>
      <w:pPr>
        <w:spacing w:after="120" w:before="0" w:line="276"/>
      </w:pPr>
      <w:r>
        <w:rPr>
          <w:rFonts w:ascii="Calibri" w:cs="Calibri" w:eastAsia="Calibri" w:hAnsi="Calibri"/>
          <w:color w:val="404040"/>
          <w:sz w:val="22"/>
          <w:szCs w:val="22"/>
        </w:rPr>
        <w:t xml:space="preserve">Dr. Holzer reported that clerkship outcomes (grades, RCE completion) disaggregated by clinical site are similar across sites, supporting cross-site outcome equity. Recommendation: continue annual monitoring.</w:t>
      </w:r>
    </w:p>
    <w:p>
      <w:pPr>
        <w:pStyle w:val="Heading3"/>
        <w:spacing w:after="80" w:before="180"/>
      </w:pPr>
      <w:r>
        <w:rPr>
          <w:rFonts w:ascii="Calibri" w:cs="Calibri" w:eastAsia="Calibri" w:hAnsi="Calibri"/>
          <w:b/>
          <w:bCs/>
          <w:i/>
          <w:iCs/>
          <w:color w:val="404040"/>
          <w:sz w:val="22"/>
          <w:szCs w:val="22"/>
        </w:rPr>
        <w:t xml:space="preserve">Residency Preparedness (Framing Question 9 — Closing)</w:t>
      </w:r>
    </w:p>
    <w:p>
      <w:pPr>
        <w:spacing w:after="120" w:before="0" w:line="276"/>
      </w:pPr>
      <w:r>
        <w:rPr>
          <w:rFonts w:ascii="Calibri" w:cs="Calibri" w:eastAsia="Calibri" w:hAnsi="Calibri"/>
          <w:color w:val="404040"/>
          <w:sz w:val="22"/>
          <w:szCs w:val="22"/>
        </w:rPr>
        <w:t xml:space="preserve">Dr. Holzer concluded with GQ-survey data on student-reported readiness across clinical skill and competency domains, showing a steady upward trend from 2020 through 2024 such that ISMMS students now self-assess at or above national peer means across all relevant domains. Dr. Holzer interpreted this as preliminary evidence that the de-emphasis of shelf-score weight has freed student time to develop clinical skills — one of the original goals of the grading-framework change.</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Discussion item; no formal vote at this presentation.</w:t>
      </w:r>
      <w:r>
        <w:rPr>
          <w:rFonts w:ascii="Calibri" w:cs="Calibri" w:eastAsia="Calibri" w:hAnsi="Calibri"/>
          <w:color w:val="404040"/>
          <w:sz w:val="22"/>
          <w:szCs w:val="22"/>
        </w:rPr>
        <w:t xml:space="preserve"> The Year 3 / Year 4 (Phase 2) Legacy Phase Review was received by the EOC. The detailed written report (distributed in advance) will be the basis for the EOC's refinement of the draft recommendations into a tracked action plan, in coordination with the Office of Curricular Affairs and the Director of Quality, Compliance, and Accreditation. Action items capturing the committee's discussion are recorded in Appendix A. The Whole Curriculum Review of the Legacy curriculum is scheduled for the next EOC meeting on December 6, 2024 (subsequently moved to December 13, 2024).</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Dr. Francis noted the time at 1:01 p.m. ET, acknowledged that several members had subsequent commitments, and declared the meeting adjourned. The Chair confirmed the next (and final 2024 calendar year) EOC meeting on Friday, December 6, 2024, at which the Whole Curriculum Review of the four-year Legacy curriculum will be presented.</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December 6, 2024 — Whole Curriculum Review (Legacy) [subsequently moved to December 13, 2024]</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November 15,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Michelle Francis, MD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NOVEMBER 15, 2024  —  Year 3 / Year 4 (Phase 2) Legacy Curriculum Review</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Phase 2 Recommendations — Refinement and Action-Plan Tracking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Refine the draft recommendations from the Year 3 / Year 4 (Phase 2) Legacy Phase Review into a tracked EOC action plan distinguishing items the EOC will act on, items to carry over (including items also surfaced from the September 20, 2024 Year 1 / Year 2 review), and items not pursued, with rationale documented for each. Coordinate with the Whole Curriculum Review scheduled for December 6/13, 2024 to identify cross-phase items.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8.3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By December 6, 2024 EOC meeting (Whole Curriculum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Psychiatry Clerkship Duration — Cohort-Outcomes Monitoring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Monitor outcomes of the first ASCEND cohort completing the 6-week psychiatry clerkship (longer than Legacy 4-week and peer-median benchmark) to assess whether the duration delivers the intended outcomes; report at the next ASCEND-cohort Phase 2 review.</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Psychiatry Clerkship Director</w:t>
            </w:r>
          </w:p>
          <w:p>
            <w:pPr>
              <w:spacing w:after="40" w:before="40" w:line="276"/>
            </w:pPr>
            <w:r>
              <w:rPr>
                <w:rFonts w:ascii="Calibri" w:cs="Calibri" w:eastAsia="Calibri" w:hAnsi="Calibri"/>
                <w:color w:val="404040"/>
                <w:sz w:val="22"/>
                <w:szCs w:val="22"/>
              </w:rPr>
              <w:t xml:space="preserve">CCS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First ASCEND Phase 2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MEPO Coverage — Phase 2 ASCEND Curriculum Implementation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Implement the planned ASCEND Phase 2 mechanisms for closing the gap on the four lower-density MEPOs identified in the Legacy review: scholarly-product creation (via THINQ); situational/self-awareness and reflection (via CCM-facilitated CAMP-week sessions); and identification of solutions to care-quality and equity failures (via the surgery-clerkship patient safety / quality improvement curriculum). Track student-level outcomes on these MEPOs and report to the EOC.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M. Rojas, PhD (THINQ)</w:t>
            </w:r>
          </w:p>
          <w:p>
            <w:pPr>
              <w:spacing w:after="40" w:before="40" w:line="276"/>
            </w:pPr>
            <w:r>
              <w:rPr>
                <w:rFonts w:ascii="Calibri" w:cs="Calibri" w:eastAsia="Calibri" w:hAnsi="Calibri"/>
                <w:color w:val="404040"/>
                <w:sz w:val="22"/>
                <w:szCs w:val="22"/>
              </w:rPr>
              <w:t xml:space="preserve">CCM/CaPD leads</w:t>
            </w:r>
          </w:p>
          <w:p>
            <w:pPr>
              <w:spacing w:after="40" w:before="40" w:line="276"/>
            </w:pPr>
            <w:r>
              <w:rPr>
                <w:rFonts w:ascii="Calibri" w:cs="Calibri" w:eastAsia="Calibri" w:hAnsi="Calibri"/>
                <w:color w:val="404040"/>
                <w:sz w:val="22"/>
                <w:szCs w:val="22"/>
              </w:rPr>
              <w:t xml:space="preserve">Surgery Clerkship Director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first report at ASCEND Phase 2 cohort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Pre-Clerkship Documentation Competency — POM Continued Development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the POM-team workstream to enhance clinical documentation as a competency in the pre-clerkship curriculum, building on summative documentation rubrics already introduced. Includes consistency across small groups and planned introduction of specialty-specific complexity in POM 2/POM 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 Strother, MD</w:t>
            </w:r>
          </w:p>
          <w:p>
            <w:pPr>
              <w:spacing w:after="40" w:before="40" w:line="276"/>
            </w:pPr>
            <w:r>
              <w:rPr>
                <w:rFonts w:ascii="Calibri" w:cs="Calibri" w:eastAsia="Calibri" w:hAnsi="Calibri"/>
                <w:color w:val="404040"/>
                <w:sz w:val="22"/>
                <w:szCs w:val="22"/>
              </w:rPr>
              <w:t xml:space="preserve">POM Module Directors</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8.3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Update at next ASCEND Phase 1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CAMP-Week Specialty Note Orientation (ASCEND Phase 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Develop CAMP-week intercession content orienting students to specialty-specific clinical-note conventions (OB/GYN, pediatrics, psychiatry, and others) that differ from the undifferentiated note taught in ASM/POM, so that students enter each clerkship better prepared for its documentation expectations.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Clerkship Directors</w:t>
            </w:r>
          </w:p>
          <w:p>
            <w:pPr>
              <w:spacing w:after="40" w:before="40" w:line="276"/>
            </w:pPr>
            <w:r>
              <w:rPr>
                <w:rFonts w:ascii="Calibri" w:cs="Calibri" w:eastAsia="Calibri" w:hAnsi="Calibri"/>
                <w:color w:val="404040"/>
                <w:sz w:val="22"/>
                <w:szCs w:val="22"/>
              </w:rPr>
              <w:t xml:space="preserve">CCS</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6.2 / 8.3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First ASCEND CAMP-week cycle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Preceptor Narrative-Assessment Development Workstream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Stand up a focused preceptor-development workstream — implementable through brief asynchronous or synchronous modules — covering: (i) ensuring all students have the opportunity to demonstrate each competency during the rotation; (ii) structured note-taking prompts to record evidence during the rotation; and (iii) using those notes to produce evidence-rich summative narratives that support both student learning and residency-application review. Drivers: Dr. Kim's question on student-facing exposure to the documentation finding; Dr. Stern's residency-grading-objectivity discussion; Dr. Masi's content-analysis findings on narrative quality.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Office of Curricular Affairs Faculty Development Team</w:t>
            </w:r>
          </w:p>
          <w:p>
            <w:pPr>
              <w:spacing w:after="40" w:before="40" w:line="276"/>
            </w:pPr>
            <w:r>
              <w:rPr>
                <w:rFonts w:ascii="Calibri" w:cs="Calibri" w:eastAsia="Calibri" w:hAnsi="Calibri"/>
                <w:color w:val="404040"/>
                <w:sz w:val="22"/>
                <w:szCs w:val="22"/>
              </w:rPr>
              <w:t xml:space="preserve">CCS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9.4 / 9.7 / 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Workstream design by spring 2025; pilot in AY 2025–2026 clerkships</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Required Clinical Experiences — Surgery Clerkship RCE Logging Alignment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Engage surgery clerkship directors to align the logging of three RCEs ("ethical dilemma," "airway management techniques," "indwelling urinary catheter insertion — male") with the actual delivery of those experiences in the clerkship. For the indwelling catheter RCE specifically, allocate resources to improve on-patient (vs. simulation-only) completion rates so that the seven AY 2023–2024 ALE counts do not recur.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Surgery Clerkship Director</w:t>
            </w:r>
          </w:p>
          <w:p>
            <w:pPr>
              <w:spacing w:after="40" w:before="40" w:line="276"/>
            </w:pPr>
            <w:r>
              <w:rPr>
                <w:rFonts w:ascii="Calibri" w:cs="Calibri" w:eastAsia="Calibri" w:hAnsi="Calibri"/>
                <w:color w:val="404040"/>
                <w:sz w:val="22"/>
                <w:szCs w:val="22"/>
              </w:rPr>
              <w:t xml:space="preserve">CCS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By end of AY 2024–2025 clerkship year</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Pre-Clerkship Foundational Science — Biochemistry, Biostatistics/Epidemiology, Genetics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to develop additional resources supporting student preparation in the three foundational-science domains (biochemistry, biostatistics/epidemiology, genetics) where Legacy GQ scores remain modestly below national peer means, even as overall preparation has trended upward AY 2020 → AY 2024.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Phase 1 Module Directors</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7.0 / 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Resource plan by AY 2025–2026; monitor via subsequent GQ data</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Match-Outcome Tracking — Specialty-Level Trend Monitoring (Post-Grading-Change)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Establish or extend specialty-level Match-outcome monitoring over the next 5 years to assess whether the AY 2021–2022 grading-framework change (de-emphasizing shelf score, two-tier honors/pass) is associated with any specialty-level shifts in interview-yield or Match competitiveness. The recommended primary data point is the ratio of interviews received to applications submitted, by specialty. Driver: Dr. Stern's question and Dr. Coakley's concurrence; Dr. Fallar's AAMC observation on the national move toward holistic review.</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Office of Career Services / CaPD Advisors</w:t>
            </w:r>
          </w:p>
          <w:p>
            <w:pPr>
              <w:spacing w:after="40" w:before="40" w:line="276"/>
            </w:pPr>
            <w:r>
              <w:rPr>
                <w:rFonts w:ascii="Calibri" w:cs="Calibri" w:eastAsia="Calibri" w:hAnsi="Calibri"/>
                <w:color w:val="404040"/>
                <w:sz w:val="22"/>
                <w:szCs w:val="22"/>
              </w:rPr>
              <w:t xml:space="preserve">M. Leitman, MD (GME interface)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8.4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first report at AY 2025–2026 EOC</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MEPO Coverage Mapping — Session-Level Granularity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Evaluate the feasibility of extending the current MEPO-coverage mapping (currently at clerkship objective level) to the session level, particularly within the clerkships where session-level mapping is operationally more difficult. Driver: Dr. Masi's question on differential shading and depth of coverage in the MEPO-coverage table.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Office of Assessment and Evaluation</w:t>
            </w:r>
          </w:p>
          <w:p>
            <w:pPr>
              <w:spacing w:after="40" w:before="40" w:line="276"/>
            </w:pPr>
            <w:r>
              <w:rPr>
                <w:rFonts w:ascii="Calibri" w:cs="Calibri" w:eastAsia="Calibri" w:hAnsi="Calibri"/>
                <w:color w:val="404040"/>
                <w:sz w:val="22"/>
                <w:szCs w:val="22"/>
              </w:rPr>
              <w:t xml:space="preserve">CCS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Feasibility assessment by AY 2025–2026</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NOVEMBER 15, 2024  —  Standing Schedule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Whole Curriculum Review (Legacy, 4-Year) — December 6, 2024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Confirm the Whole Curriculum Review of the four-year Legacy curriculum on the December 6, 2024 EOC meeting agenda. Integrate cross-phase findings from the September 20, 2024 Year 1 / Year 2 review and the November 15, 2024 Year 3 / Year 4 review into the Whole Curriculum Review preparation. (Meeting was subsequently moved to December 13, 2024.)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December 6, 2024 (moved to December 13, 2024)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November 15,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November 15,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2026-05-25T14:44:05.459Z</dcterms:created>
  <dcterms:modified xsi:type="dcterms:W3CDTF">2026-05-25T14:44:05.460Z</dcterms:modified>
</cp:coreProperties>
</file>

<file path=docProps/custom.xml><?xml version="1.0" encoding="utf-8"?>
<Properties xmlns="http://schemas.openxmlformats.org/officeDocument/2006/custom-properties" xmlns:vt="http://schemas.openxmlformats.org/officeDocument/2006/docPropsVTypes"/>
</file>