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3A5F"/>
          <w:sz w:val="44"/>
          <w:szCs w:val="44"/>
        </w:rPr>
        <w:t xml:space="preserve">EXECUTIVE OVERSIGHT COMMITTEE (EOC)</w:t>
      </w:r>
    </w:p>
    <w:p>
      <w:pPr>
        <w:spacing w:after="120" w:before="0"/>
        <w:jc w:val="center"/>
      </w:pPr>
      <w:r>
        <w:rPr>
          <w:rFonts w:ascii="Calibri" w:cs="Calibri" w:eastAsia="Calibri" w:hAnsi="Calibri"/>
          <w:b/>
          <w:bCs/>
          <w:color w:val="1F3A5F"/>
          <w:sz w:val="44"/>
          <w:szCs w:val="44"/>
        </w:rPr>
        <w:t xml:space="preserve">MEETING MINUTES</w:t>
      </w:r>
    </w:p>
    <w:p>
      <w:pPr>
        <w:spacing w:after="240" w:before="0"/>
        <w:jc w:val="center"/>
      </w:pPr>
      <w:r>
        <w:rPr>
          <w:rFonts w:ascii="Calibri" w:cs="Calibri" w:eastAsia="Calibri" w:hAnsi="Calibri"/>
          <w:i/>
          <w:iCs/>
          <w:color w:val="404040"/>
          <w:sz w:val="22"/>
          <w:szCs w:val="22"/>
        </w:rPr>
        <w:t xml:space="preserve">Icahn School of Medicine at Mount Sinai  |  December 13, 2024</w:t>
      </w:r>
    </w:p>
    <w:p>
      <w:pPr>
        <w:pBdr>
          <w:top w:val="single" w:color="C00000" w:sz="6" w:space="4"/>
          <w:bottom w:val="single" w:color="C00000" w:sz="6" w:space="4"/>
        </w:pBdr>
        <w:spacing w:after="240" w:before="0"/>
        <w:jc w:val="center"/>
      </w:pPr>
      <w:r>
        <w:rPr>
          <w:rFonts w:ascii="Calibri" w:cs="Calibri" w:eastAsia="Calibri" w:hAnsi="Calibri"/>
          <w:i/>
          <w:iCs/>
          <w:color w:val="C00000"/>
          <w:sz w:val="20"/>
          <w:szCs w:val="20"/>
        </w:rPr>
        <w:t xml:space="preserve">⚠ Note: The AY 2024–2025 EOC membership roster has been reconstructed from multiple sources and may contain inaccuracies. The EOC era had a different voting structure than the EEC eras that followed (subcommittee chairs and several representative positions were voting members in the EOC, but became non-voting CA Leadership in the EEC). Roster corrections (per Sr. Associate Dean for Curricular Affairs, May 25, 2026): Avnish Deobhakta seated July 26, 2024 and departed January 2025; Jillian Palmer is a voting member as Director of Student Success and Progression (per AY 2024-25 and AY 2025-26 through December 2026); Jacquelyn Chudow is a guest presenter for admissions-related items, not a standing member. The name 'Vicindra' appearing in the July 12, 2024 transcript refers to Vasundhara Singh. Please verify attendance against contemporaneous EOC records before finalizing.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Committee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Executive Oversight Committee (EOC)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Meeting Type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Regular Scheduled Meeting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December 13, 2024 (Friday)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Time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Approximately 12:01 p.m. – 12:38 p.m. 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Modality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(virtual)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Presiding Officer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Robert Fallar — Acting Chair (Chair, Dr. Michelle Francis, absent); Associate Dean for Assessment and Evaluation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 Secretary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Fatima Shafiq, Project Manager, Curricular Affairs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Quorum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Confirmed at call to order by the Acting Chair; see Section 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transcript on file (GMT20241213-170156); reference source for these minutes</w:t>
            </w:r>
          </w:p>
        </w:tc>
      </w:tr>
    </w:tbl>
    <w:p>
      <w:pPr>
        <w:spacing w:after="120" w:before="0" w:line="276"/>
      </w:pPr>
    </w:p>
    <w:p>
      <w:pPr>
        <w:pStyle w:val="Heading1"/>
        <w:pBdr>
          <w:bottom w:val="single" w:color="1F3A5F" w:sz="8" w:space="4"/>
        </w:pBdr>
        <w:spacing w:after="160" w:before="320"/>
      </w:pPr>
      <w:r>
        <w:rPr>
          <w:rFonts w:ascii="Calibri" w:cs="Calibri" w:eastAsia="Calibri" w:hAnsi="Calibri"/>
          <w:b/>
          <w:bCs/>
          <w:color w:val="1F3A5F"/>
          <w:sz w:val="28"/>
          <w:szCs w:val="28"/>
        </w:rPr>
        <w:t xml:space="preserve">1. Attendance</w:t>
      </w:r>
    </w:p>
    <w:p>
      <w:pPr>
        <w:spacing w:after="120" w:before="0" w:line="276"/>
      </w:pPr>
      <w:r>
        <w:rPr>
          <w:rFonts w:ascii="Calibri" w:cs="Calibri" w:eastAsia="Calibri" w:hAnsi="Calibri"/>
          <w:color w:val="404040"/>
          <w:sz w:val="22"/>
          <w:szCs w:val="22"/>
        </w:rPr>
        <w:t xml:space="preserve">Attendance is reported in alignment with LCME Element 8.1 (Curricular Management) documentation expectations. Note: The AY 2024–2025 EOC membership roster has been reconstructed from multiple sources and may contain inaccuracies. The EOC era had a different voting structure than the EEC eras that followed (subcommittee chairs and several representative positions were voting members in the EOC, but became non-voting CA Leadership in the EEC). Roster corrections (per Sr. Associate Dean for Curricular Affairs, May 25, 2026): Avnish Deobhakta seated July 26, 2024 and departed January 2025; Jillian Palmer is a voting member as Director of Student Success and Progression (per AY 2024-25 and AY 2025-26 through December 2026); Jacquelyn Chudow is a guest presenter for admissions-related items, not a standing member. The name 'Vicindra' appearing in the July 12, 2024 transcript refers to Vasundhara Singh. Please verify attendance against contemporaneous EOC records before finalizing.</w:t>
      </w:r>
    </w:p>
    <w:p>
      <w:pPr>
        <w:pStyle w:val="Heading2"/>
        <w:spacing w:after="120" w:before="240"/>
      </w:pPr>
      <w:r>
        <w:rPr>
          <w:rFonts w:ascii="Calibri" w:cs="Calibri" w:eastAsia="Calibri" w:hAnsi="Calibri"/>
          <w:b/>
          <w:bCs/>
          <w:color w:val="2E5984"/>
          <w:sz w:val="26"/>
          <w:szCs w:val="26"/>
        </w:rPr>
        <w:t xml:space="preserve">Voting Members Present (4)</w:t>
      </w:r>
    </w:p>
    <w:p>
      <w:pPr>
        <w:pStyle w:val="ListParagraph"/>
        <w:numPr>
          <w:ilvl w:val="0"/>
          <w:numId w:val="2"/>
        </w:numPr>
        <w:spacing w:after="40" w:before="0" w:line="276"/>
      </w:pPr>
      <w:r>
        <w:rPr>
          <w:rFonts w:ascii="Calibri" w:cs="Calibri" w:eastAsia="Calibri" w:hAnsi="Calibri"/>
          <w:color w:val="404040"/>
          <w:sz w:val="22"/>
          <w:szCs w:val="22"/>
        </w:rPr>
        <w:t xml:space="preserve">Robert Fallar, PhD — Chair, Assessment and Evaluation Subcommittee</w:t>
      </w:r>
    </w:p>
    <w:p>
      <w:pPr>
        <w:pStyle w:val="ListParagraph"/>
        <w:numPr>
          <w:ilvl w:val="0"/>
          <w:numId w:val="2"/>
        </w:numPr>
        <w:spacing w:after="40" w:before="0" w:line="276"/>
      </w:pPr>
      <w:r>
        <w:rPr>
          <w:rFonts w:ascii="Calibri" w:cs="Calibri" w:eastAsia="Calibri" w:hAnsi="Calibri"/>
          <w:color w:val="404040"/>
          <w:sz w:val="22"/>
          <w:szCs w:val="22"/>
        </w:rPr>
        <w:t xml:space="preserve">Kris Alpi, PhD — Associate Dean for Libraries &amp; Information Sciences</w:t>
      </w:r>
    </w:p>
    <w:p>
      <w:pPr>
        <w:pStyle w:val="ListParagraph"/>
        <w:numPr>
          <w:ilvl w:val="0"/>
          <w:numId w:val="2"/>
        </w:numPr>
        <w:spacing w:after="40" w:before="0" w:line="276"/>
      </w:pPr>
      <w:r>
        <w:rPr>
          <w:rFonts w:ascii="Calibri" w:cs="Calibri" w:eastAsia="Calibri" w:hAnsi="Calibri"/>
          <w:color w:val="404040"/>
          <w:sz w:val="22"/>
          <w:szCs w:val="22"/>
        </w:rPr>
        <w:t xml:space="preserve">Ann-Gel Palermo, DrPH MPH — Diversity, Equity, and Inclusion representative</w:t>
      </w:r>
    </w:p>
    <w:p>
      <w:pPr>
        <w:pStyle w:val="ListParagraph"/>
        <w:numPr>
          <w:ilvl w:val="0"/>
          <w:numId w:val="2"/>
        </w:numPr>
        <w:spacing w:after="40" w:before="0" w:line="276"/>
      </w:pPr>
      <w:r>
        <w:rPr>
          <w:rFonts w:ascii="Calibri" w:cs="Calibri" w:eastAsia="Calibri" w:hAnsi="Calibri"/>
          <w:color w:val="404040"/>
          <w:sz w:val="22"/>
          <w:szCs w:val="22"/>
        </w:rPr>
        <w:t xml:space="preserve">Mary Rojas, PhD — Chair, Medical Student Research Subcommittee</w:t>
      </w:r>
    </w:p>
    <w:p>
      <w:pPr>
        <w:pStyle w:val="Heading2"/>
        <w:spacing w:after="120" w:before="240"/>
      </w:pPr>
      <w:r>
        <w:rPr>
          <w:rFonts w:ascii="Calibri" w:cs="Calibri" w:eastAsia="Calibri" w:hAnsi="Calibri"/>
          <w:b/>
          <w:bCs/>
          <w:color w:val="2E5984"/>
          <w:sz w:val="26"/>
          <w:szCs w:val="26"/>
        </w:rPr>
        <w:t xml:space="preserve">Voting Members Absent (27)</w:t>
      </w:r>
    </w:p>
    <w:p>
      <w:pPr>
        <w:pStyle w:val="ListParagraph"/>
        <w:numPr>
          <w:ilvl w:val="0"/>
          <w:numId w:val="2"/>
        </w:numPr>
        <w:spacing w:after="40" w:before="0" w:line="276"/>
      </w:pPr>
      <w:r>
        <w:rPr>
          <w:rFonts w:ascii="Calibri" w:cs="Calibri" w:eastAsia="Calibri" w:hAnsi="Calibri"/>
          <w:color w:val="404040"/>
          <w:sz w:val="22"/>
          <w:szCs w:val="22"/>
        </w:rPr>
        <w:t xml:space="preserve">Michelle Francis, MD — Chair (presiding); Assistant Professor – OB/GYN</w:t>
      </w:r>
    </w:p>
    <w:p>
      <w:pPr>
        <w:pStyle w:val="ListParagraph"/>
        <w:numPr>
          <w:ilvl w:val="0"/>
          <w:numId w:val="2"/>
        </w:numPr>
        <w:spacing w:after="40" w:before="0" w:line="276"/>
      </w:pPr>
      <w:r>
        <w:rPr>
          <w:rFonts w:ascii="Calibri" w:cs="Calibri" w:eastAsia="Calibri" w:hAnsi="Calibri"/>
          <w:color w:val="404040"/>
          <w:sz w:val="22"/>
          <w:szCs w:val="22"/>
        </w:rPr>
        <w:t xml:space="preserve">Ganesh Gunasekaran, MD — Faculty Educator at Large; Section Chief of Hepatobiliary Surgery</w:t>
      </w:r>
    </w:p>
    <w:p>
      <w:pPr>
        <w:pStyle w:val="ListParagraph"/>
        <w:numPr>
          <w:ilvl w:val="0"/>
          <w:numId w:val="2"/>
        </w:numPr>
        <w:spacing w:after="40" w:before="0" w:line="276"/>
      </w:pPr>
      <w:r>
        <w:rPr>
          <w:rFonts w:ascii="Calibri" w:cs="Calibri" w:eastAsia="Calibri" w:hAnsi="Calibri"/>
          <w:color w:val="404040"/>
          <w:sz w:val="22"/>
          <w:szCs w:val="22"/>
        </w:rPr>
        <w:t xml:space="preserve">Eric Kutscher, MD — Faculty Educator at Large; Assistant Professor – General Internal Medicine</w:t>
      </w:r>
    </w:p>
    <w:p>
      <w:pPr>
        <w:pStyle w:val="ListParagraph"/>
        <w:numPr>
          <w:ilvl w:val="0"/>
          <w:numId w:val="2"/>
        </w:numPr>
        <w:spacing w:after="40" w:before="0" w:line="276"/>
      </w:pPr>
      <w:r>
        <w:rPr>
          <w:rFonts w:ascii="Calibri" w:cs="Calibri" w:eastAsia="Calibri" w:hAnsi="Calibri"/>
          <w:color w:val="404040"/>
          <w:sz w:val="22"/>
          <w:szCs w:val="22"/>
        </w:rPr>
        <w:t xml:space="preserve">Arvind Kamthan, MD — Faculty Educator at Large; Associate Professor – Hematology and Medical Oncology</w:t>
      </w:r>
    </w:p>
    <w:p>
      <w:pPr>
        <w:pStyle w:val="ListParagraph"/>
        <w:numPr>
          <w:ilvl w:val="0"/>
          <w:numId w:val="2"/>
        </w:numPr>
        <w:spacing w:after="40" w:before="0" w:line="276"/>
      </w:pPr>
      <w:r>
        <w:rPr>
          <w:rFonts w:ascii="Calibri" w:cs="Calibri" w:eastAsia="Calibri" w:hAnsi="Calibri"/>
          <w:color w:val="404040"/>
          <w:sz w:val="22"/>
          <w:szCs w:val="22"/>
        </w:rPr>
        <w:t xml:space="preserve">Brian Rice,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Jessica Reid-Adam, MD — Faculty Educator at Large; Professor – Medical Education, Pediatric</w:t>
      </w:r>
    </w:p>
    <w:p>
      <w:pPr>
        <w:pStyle w:val="ListParagraph"/>
        <w:numPr>
          <w:ilvl w:val="0"/>
          <w:numId w:val="2"/>
        </w:numPr>
        <w:spacing w:after="40" w:before="0" w:line="276"/>
      </w:pPr>
      <w:r>
        <w:rPr>
          <w:rFonts w:ascii="Calibri" w:cs="Calibri" w:eastAsia="Calibri" w:hAnsi="Calibri"/>
          <w:color w:val="404040"/>
          <w:sz w:val="22"/>
          <w:szCs w:val="22"/>
        </w:rPr>
        <w:t xml:space="preserve">Kyunghyun Lee,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Richard Stern, MD — Faculty Educator at Large; Associate Professor – Radiology, Medical Education</w:t>
      </w:r>
    </w:p>
    <w:p>
      <w:pPr>
        <w:pStyle w:val="ListParagraph"/>
        <w:numPr>
          <w:ilvl w:val="0"/>
          <w:numId w:val="2"/>
        </w:numPr>
        <w:spacing w:after="40" w:before="0" w:line="276"/>
      </w:pPr>
      <w:r>
        <w:rPr>
          <w:rFonts w:ascii="Calibri" w:cs="Calibri" w:eastAsia="Calibri" w:hAnsi="Calibri"/>
          <w:color w:val="404040"/>
          <w:sz w:val="22"/>
          <w:szCs w:val="22"/>
        </w:rPr>
        <w:t xml:space="preserve">Sreekala Raghavan, MD — Faculty Educator at Large; Associate Professor – General Internal Medicine, Medical Education</w:t>
      </w:r>
    </w:p>
    <w:p>
      <w:pPr>
        <w:pStyle w:val="ListParagraph"/>
        <w:numPr>
          <w:ilvl w:val="0"/>
          <w:numId w:val="2"/>
        </w:numPr>
        <w:spacing w:after="40" w:before="0" w:line="276"/>
      </w:pPr>
      <w:r>
        <w:rPr>
          <w:rFonts w:ascii="Calibri" w:cs="Calibri" w:eastAsia="Calibri" w:hAnsi="Calibri"/>
          <w:color w:val="404040"/>
          <w:sz w:val="22"/>
          <w:szCs w:val="22"/>
        </w:rPr>
        <w:t xml:space="preserve">Matthew O'Connell, PhD — MD/PhD representative</w:t>
      </w:r>
    </w:p>
    <w:p>
      <w:pPr>
        <w:pStyle w:val="ListParagraph"/>
        <w:numPr>
          <w:ilvl w:val="0"/>
          <w:numId w:val="2"/>
        </w:numPr>
        <w:spacing w:after="40" w:before="0" w:line="276"/>
      </w:pPr>
      <w:r>
        <w:rPr>
          <w:rFonts w:ascii="Calibri" w:cs="Calibri" w:eastAsia="Calibri" w:hAnsi="Calibri"/>
          <w:color w:val="404040"/>
          <w:sz w:val="22"/>
          <w:szCs w:val="22"/>
        </w:rPr>
        <w:t xml:space="preserve">Brian Coakley, MD — Faculty at Large</w:t>
      </w:r>
    </w:p>
    <w:p>
      <w:pPr>
        <w:pStyle w:val="ListParagraph"/>
        <w:numPr>
          <w:ilvl w:val="0"/>
          <w:numId w:val="2"/>
        </w:numPr>
        <w:spacing w:after="40" w:before="0" w:line="276"/>
      </w:pPr>
      <w:r>
        <w:rPr>
          <w:rFonts w:ascii="Calibri" w:cs="Calibri" w:eastAsia="Calibri" w:hAnsi="Calibri"/>
          <w:color w:val="404040"/>
          <w:sz w:val="22"/>
          <w:szCs w:val="22"/>
        </w:rPr>
        <w:t xml:space="preserve">Michael Leitman, MD — Graduate Medical Education representative</w:t>
      </w:r>
    </w:p>
    <w:p>
      <w:pPr>
        <w:pStyle w:val="ListParagraph"/>
        <w:numPr>
          <w:ilvl w:val="0"/>
          <w:numId w:val="2"/>
        </w:numPr>
        <w:spacing w:after="40" w:before="0" w:line="276"/>
      </w:pPr>
      <w:r>
        <w:rPr>
          <w:rFonts w:ascii="Calibri" w:cs="Calibri" w:eastAsia="Calibri" w:hAnsi="Calibri"/>
          <w:color w:val="404040"/>
          <w:sz w:val="22"/>
          <w:szCs w:val="22"/>
        </w:rPr>
        <w:t xml:space="preserve">Tonia Kim, MD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Alexandros Polydorides, MD PhD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Eve Merrill,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Cynthia Abraham,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Craig Katz, MD — Career and Professional Development (CaPD) Advisor</w:t>
      </w:r>
    </w:p>
    <w:p>
      <w:pPr>
        <w:pStyle w:val="ListParagraph"/>
        <w:numPr>
          <w:ilvl w:val="0"/>
          <w:numId w:val="2"/>
        </w:numPr>
        <w:spacing w:after="40" w:before="0" w:line="276"/>
      </w:pPr>
      <w:r>
        <w:rPr>
          <w:rFonts w:ascii="Calibri" w:cs="Calibri" w:eastAsia="Calibri" w:hAnsi="Calibri"/>
          <w:color w:val="404040"/>
          <w:sz w:val="22"/>
          <w:szCs w:val="22"/>
        </w:rPr>
        <w:t xml:space="preserve">Vannita Simma-Chiang, MD — Specialty Advisor; Director of Specialty Advising</w:t>
      </w:r>
    </w:p>
    <w:p>
      <w:pPr>
        <w:pStyle w:val="ListParagraph"/>
        <w:numPr>
          <w:ilvl w:val="0"/>
          <w:numId w:val="2"/>
        </w:numPr>
        <w:spacing w:after="40" w:before="0" w:line="276"/>
      </w:pPr>
      <w:r>
        <w:rPr>
          <w:rFonts w:ascii="Calibri" w:cs="Calibri" w:eastAsia="Calibri" w:hAnsi="Calibri"/>
          <w:color w:val="404040"/>
          <w:sz w:val="22"/>
          <w:szCs w:val="22"/>
        </w:rPr>
        <w:t xml:space="preserve">Alan Zhang — Student Representative, M1 (ASCEND Phase 1)</w:t>
      </w:r>
    </w:p>
    <w:p>
      <w:pPr>
        <w:pStyle w:val="ListParagraph"/>
        <w:numPr>
          <w:ilvl w:val="0"/>
          <w:numId w:val="2"/>
        </w:numPr>
        <w:spacing w:after="40" w:before="0" w:line="276"/>
      </w:pPr>
      <w:r>
        <w:rPr>
          <w:rFonts w:ascii="Calibri" w:cs="Calibri" w:eastAsia="Calibri" w:hAnsi="Calibri"/>
          <w:color w:val="404040"/>
          <w:sz w:val="22"/>
          <w:szCs w:val="22"/>
        </w:rPr>
        <w:t xml:space="preserve">Jamie Frost — Student Representative, M2 (Legacy)</w:t>
      </w:r>
    </w:p>
    <w:p>
      <w:pPr>
        <w:pStyle w:val="ListParagraph"/>
        <w:numPr>
          <w:ilvl w:val="0"/>
          <w:numId w:val="2"/>
        </w:numPr>
        <w:spacing w:after="40" w:before="0" w:line="276"/>
      </w:pPr>
      <w:r>
        <w:rPr>
          <w:rFonts w:ascii="Calibri" w:cs="Calibri" w:eastAsia="Calibri" w:hAnsi="Calibri"/>
          <w:color w:val="404040"/>
          <w:sz w:val="22"/>
          <w:szCs w:val="22"/>
        </w:rPr>
        <w:t xml:space="preserve">Farimata Mbaye — Student Representative, M3 (Legacy)</w:t>
      </w:r>
    </w:p>
    <w:p>
      <w:pPr>
        <w:pStyle w:val="ListParagraph"/>
        <w:numPr>
          <w:ilvl w:val="0"/>
          <w:numId w:val="2"/>
        </w:numPr>
        <w:spacing w:after="40" w:before="0" w:line="276"/>
      </w:pPr>
      <w:r>
        <w:rPr>
          <w:rFonts w:ascii="Calibri" w:cs="Calibri" w:eastAsia="Calibri" w:hAnsi="Calibri"/>
          <w:color w:val="404040"/>
          <w:sz w:val="22"/>
          <w:szCs w:val="22"/>
        </w:rPr>
        <w:t xml:space="preserve">Masih Babagoli — Student Representative, M4 (Legacy)</w:t>
      </w:r>
    </w:p>
    <w:p>
      <w:pPr>
        <w:pStyle w:val="ListParagraph"/>
        <w:numPr>
          <w:ilvl w:val="0"/>
          <w:numId w:val="2"/>
        </w:numPr>
        <w:spacing w:after="40" w:before="0" w:line="276"/>
      </w:pPr>
      <w:r>
        <w:rPr>
          <w:rFonts w:ascii="Calibri" w:cs="Calibri" w:eastAsia="Calibri" w:hAnsi="Calibri"/>
          <w:color w:val="404040"/>
          <w:sz w:val="22"/>
          <w:szCs w:val="22"/>
        </w:rPr>
        <w:t xml:space="preserve">Staci Leisman, MD — Chair, Course Directors Subcommittee</w:t>
      </w:r>
    </w:p>
    <w:p>
      <w:pPr>
        <w:pStyle w:val="ListParagraph"/>
        <w:numPr>
          <w:ilvl w:val="0"/>
          <w:numId w:val="2"/>
        </w:numPr>
        <w:spacing w:after="40" w:before="0" w:line="276"/>
      </w:pPr>
      <w:r>
        <w:rPr>
          <w:rFonts w:ascii="Calibri" w:cs="Calibri" w:eastAsia="Calibri" w:hAnsi="Calibri"/>
          <w:color w:val="404040"/>
          <w:sz w:val="22"/>
          <w:szCs w:val="22"/>
        </w:rPr>
        <w:t xml:space="preserve">Teddy Holzer, MD — Chair, Clinical Curriculum Subcommittee</w:t>
      </w:r>
    </w:p>
    <w:p>
      <w:pPr>
        <w:pStyle w:val="ListParagraph"/>
        <w:numPr>
          <w:ilvl w:val="0"/>
          <w:numId w:val="2"/>
        </w:numPr>
        <w:spacing w:after="40" w:before="0" w:line="276"/>
      </w:pPr>
      <w:r>
        <w:rPr>
          <w:rFonts w:ascii="Calibri" w:cs="Calibri" w:eastAsia="Calibri" w:hAnsi="Calibri"/>
          <w:color w:val="404040"/>
          <w:sz w:val="22"/>
          <w:szCs w:val="22"/>
        </w:rPr>
        <w:t xml:space="preserve">Vasundhara Singh, MD — Chair, Electives Subcommittee</w:t>
      </w:r>
    </w:p>
    <w:p>
      <w:pPr>
        <w:pStyle w:val="ListParagraph"/>
        <w:numPr>
          <w:ilvl w:val="0"/>
          <w:numId w:val="2"/>
        </w:numPr>
        <w:spacing w:after="40" w:before="0" w:line="276"/>
      </w:pPr>
      <w:r>
        <w:rPr>
          <w:rFonts w:ascii="Calibri" w:cs="Calibri" w:eastAsia="Calibri" w:hAnsi="Calibri"/>
          <w:color w:val="404040"/>
          <w:sz w:val="22"/>
          <w:szCs w:val="22"/>
        </w:rPr>
        <w:t xml:space="preserve">Avnish Deobhakta, MD — Faculty Educator at Large; Ophthalmology (seated July 26, 2024; left January 2025)</w:t>
      </w:r>
    </w:p>
    <w:p>
      <w:pPr>
        <w:pStyle w:val="ListParagraph"/>
        <w:numPr>
          <w:ilvl w:val="0"/>
          <w:numId w:val="2"/>
        </w:numPr>
        <w:spacing w:after="40" w:before="0" w:line="276"/>
      </w:pPr>
      <w:r>
        <w:rPr>
          <w:rFonts w:ascii="Calibri" w:cs="Calibri" w:eastAsia="Calibri" w:hAnsi="Calibri"/>
          <w:color w:val="404040"/>
          <w:sz w:val="22"/>
          <w:szCs w:val="22"/>
        </w:rPr>
        <w:t xml:space="preserve">Jillian Palmer — Director of Student Success and Progression</w:t>
      </w:r>
    </w:p>
    <w:p>
      <w:pPr>
        <w:pStyle w:val="Heading2"/>
        <w:spacing w:after="120" w:before="240"/>
      </w:pPr>
      <w:r>
        <w:rPr>
          <w:rFonts w:ascii="Calibri" w:cs="Calibri" w:eastAsia="Calibri" w:hAnsi="Calibri"/>
          <w:b/>
          <w:bCs/>
          <w:color w:val="2E5984"/>
          <w:sz w:val="26"/>
          <w:szCs w:val="26"/>
        </w:rPr>
        <w:t xml:space="preserve">Guests/Ex Officio Members Present (Non-Voting)</w:t>
      </w:r>
    </w:p>
    <w:p>
      <w:pPr>
        <w:pStyle w:val="ListParagraph"/>
        <w:numPr>
          <w:ilvl w:val="0"/>
          <w:numId w:val="2"/>
        </w:numPr>
        <w:spacing w:after="40" w:before="0" w:line="276"/>
      </w:pPr>
      <w:r>
        <w:rPr>
          <w:rFonts w:ascii="Calibri" w:cs="Calibri" w:eastAsia="Calibri" w:hAnsi="Calibri"/>
          <w:color w:val="404040"/>
          <w:sz w:val="22"/>
          <w:szCs w:val="22"/>
        </w:rPr>
        <w:t xml:space="preserve">Rainier Soriano, MD — Ex Officio; Sr. Associate Dean for Curricular Affairs</w:t>
      </w:r>
    </w:p>
    <w:p>
      <w:pPr>
        <w:pStyle w:val="ListParagraph"/>
        <w:numPr>
          <w:ilvl w:val="0"/>
          <w:numId w:val="2"/>
        </w:numPr>
        <w:spacing w:after="40" w:before="0" w:line="276"/>
      </w:pPr>
      <w:r>
        <w:rPr>
          <w:rFonts w:ascii="Calibri" w:cs="Calibri" w:eastAsia="Calibri" w:hAnsi="Calibri"/>
          <w:color w:val="404040"/>
          <w:sz w:val="22"/>
          <w:szCs w:val="22"/>
        </w:rPr>
        <w:t xml:space="preserve">Valerie Parkas, MD — Ex Officio; Sr. Associate Dean for Admissions &amp; Recruitment; Interim Sr. Associate Dean for Student Affairs</w:t>
      </w:r>
    </w:p>
    <w:p>
      <w:pPr>
        <w:pStyle w:val="ListParagraph"/>
        <w:numPr>
          <w:ilvl w:val="0"/>
          <w:numId w:val="2"/>
        </w:numPr>
        <w:spacing w:after="40" w:before="0" w:line="276"/>
      </w:pPr>
      <w:r>
        <w:rPr>
          <w:rFonts w:ascii="Calibri" w:cs="Calibri" w:eastAsia="Calibri" w:hAnsi="Calibri"/>
          <w:color w:val="404040"/>
          <w:sz w:val="22"/>
          <w:szCs w:val="22"/>
        </w:rPr>
        <w:t xml:space="preserve">David C. Thomas, MD MHPE — Ex Officio; Dean for Medical Education</w:t>
      </w:r>
    </w:p>
    <w:p>
      <w:pPr>
        <w:pStyle w:val="Heading2"/>
        <w:spacing w:after="120" w:before="240"/>
      </w:pPr>
      <w:r>
        <w:rPr>
          <w:rFonts w:ascii="Calibri" w:cs="Calibri" w:eastAsia="Calibri" w:hAnsi="Calibri"/>
          <w:b/>
          <w:bCs/>
          <w:color w:val="2E5984"/>
          <w:sz w:val="26"/>
          <w:szCs w:val="26"/>
        </w:rPr>
        <w:t xml:space="preserve">CA Leadership Present (Non-Voting)</w:t>
      </w:r>
    </w:p>
    <w:p>
      <w:pPr>
        <w:spacing w:after="120" w:before="0" w:line="276"/>
      </w:pPr>
      <w:r>
        <w:rPr>
          <w:rFonts w:ascii="Calibri" w:cs="Calibri" w:eastAsia="Calibri" w:hAnsi="Calibri"/>
          <w:i/>
          <w:iCs/>
          <w:color w:val="404040"/>
          <w:sz w:val="22"/>
          <w:szCs w:val="22"/>
        </w:rPr>
        <w:t xml:space="preserve">None.</w:t>
      </w:r>
    </w:p>
    <w:p>
      <w:pPr>
        <w:pStyle w:val="Heading1"/>
        <w:pBdr>
          <w:bottom w:val="single" w:color="1F3A5F" w:sz="8" w:space="4"/>
        </w:pBdr>
        <w:spacing w:after="160" w:before="320"/>
      </w:pPr>
      <w:r>
        <w:rPr>
          <w:rFonts w:ascii="Calibri" w:cs="Calibri" w:eastAsia="Calibri" w:hAnsi="Calibri"/>
          <w:b/>
          <w:bCs/>
          <w:color w:val="1F3A5F"/>
          <w:sz w:val="28"/>
          <w:szCs w:val="28"/>
        </w:rPr>
        <w:t xml:space="preserve">2. Call to Order, Quorum, and Approval of Agenda</w:t>
      </w:r>
    </w:p>
    <w:p>
      <w:pPr>
        <w:pStyle w:val="Heading2"/>
        <w:spacing w:after="120" w:before="240"/>
      </w:pPr>
      <w:r>
        <w:rPr>
          <w:rFonts w:ascii="Calibri" w:cs="Calibri" w:eastAsia="Calibri" w:hAnsi="Calibri"/>
          <w:b/>
          <w:bCs/>
          <w:color w:val="2E5984"/>
          <w:sz w:val="26"/>
          <w:szCs w:val="26"/>
        </w:rPr>
        <w:t xml:space="preserve">Call to Order</w:t>
      </w:r>
    </w:p>
    <w:p>
      <w:pPr>
        <w:spacing w:after="120" w:before="0" w:line="276"/>
      </w:pPr>
      <w:r>
        <w:rPr>
          <w:rFonts w:ascii="Calibri" w:cs="Calibri" w:eastAsia="Calibri" w:hAnsi="Calibri"/>
          <w:color w:val="404040"/>
          <w:sz w:val="22"/>
          <w:szCs w:val="22"/>
        </w:rPr>
        <w:t xml:space="preserve">The meeting was convened on Zoom and presided over by Dr. Robert Fallar as Acting Chair in the absence of the Chair, Dr. Michelle Francis. The Acting Chair opened the meeting in the interest of time and proceeded to review of the prior EOC minutes.</w:t>
      </w:r>
    </w:p>
    <w:p>
      <w:pPr>
        <w:pStyle w:val="Heading2"/>
        <w:spacing w:after="120" w:before="240"/>
      </w:pPr>
      <w:r>
        <w:rPr>
          <w:rFonts w:ascii="Calibri" w:cs="Calibri" w:eastAsia="Calibri" w:hAnsi="Calibri"/>
          <w:b/>
          <w:bCs/>
          <w:color w:val="2E5984"/>
          <w:sz w:val="26"/>
          <w:szCs w:val="26"/>
        </w:rPr>
        <w:t xml:space="preserve">Quorum Determination</w:t>
      </w:r>
    </w:p>
    <w:p>
      <w:pPr>
        <w:spacing w:after="120" w:before="0" w:line="276"/>
      </w:pPr>
      <w:r>
        <w:rPr>
          <w:rFonts w:ascii="Calibri" w:cs="Calibri" w:eastAsia="Calibri" w:hAnsi="Calibri"/>
          <w:color w:val="404040"/>
          <w:sz w:val="22"/>
          <w:szCs w:val="22"/>
        </w:rPr>
        <w:t xml:space="preserve">Quorum was confirmed on the record by the Acting Chair at the call to order. A specific voting-member count was not enumerated in the transcript. Note: this December 6 meeting was rescheduled to December 13, 2024; attendance is lower than typical (consistent with rescheduling close to the holiday season).</w:t>
      </w:r>
    </w:p>
    <w:p>
      <w:pPr>
        <w:pStyle w:val="Heading2"/>
        <w:spacing w:after="120" w:before="240"/>
      </w:pPr>
      <w:r>
        <w:rPr>
          <w:rFonts w:ascii="Calibri" w:cs="Calibri" w:eastAsia="Calibri" w:hAnsi="Calibri"/>
          <w:b/>
          <w:bCs/>
          <w:color w:val="2E5984"/>
          <w:sz w:val="26"/>
          <w:szCs w:val="26"/>
        </w:rPr>
        <w:t xml:space="preserve">Approval of Agenda</w:t>
      </w:r>
    </w:p>
    <w:p>
      <w:pPr>
        <w:spacing w:after="120" w:before="0" w:line="276"/>
      </w:pPr>
      <w:r>
        <w:rPr>
          <w:rFonts w:ascii="Calibri" w:cs="Calibri" w:eastAsia="Calibri" w:hAnsi="Calibri"/>
          <w:color w:val="404040"/>
          <w:sz w:val="22"/>
          <w:szCs w:val="22"/>
        </w:rPr>
        <w:t xml:space="preserve">The agenda comprised approval of the prior EOC meeting minutes followed by the single substantive item: the Whole Curriculum Review of the four-year Legacy curriculum, presented by Dr. Rainier P. Soriano. The Acting Chair confirmed the agenda; no modifications were proposed.</w:t>
      </w:r>
    </w:p>
    <w:p>
      <w:pPr>
        <w:pStyle w:val="Heading2"/>
        <w:spacing w:after="120" w:before="240"/>
      </w:pPr>
      <w:r>
        <w:rPr>
          <w:rFonts w:ascii="Calibri" w:cs="Calibri" w:eastAsia="Calibri" w:hAnsi="Calibri"/>
          <w:b/>
          <w:bCs/>
          <w:color w:val="2E5984"/>
          <w:sz w:val="26"/>
          <w:szCs w:val="26"/>
        </w:rPr>
        <w:t xml:space="preserve">Approval of Prior Meeting Minutes</w:t>
      </w:r>
    </w:p>
    <w:p>
      <w:pPr>
        <w:spacing w:after="120" w:before="0" w:line="276"/>
      </w:pPr>
      <w:r>
        <w:rPr>
          <w:rFonts w:ascii="Calibri" w:cs="Calibri" w:eastAsia="Calibri" w:hAnsi="Calibri"/>
          <w:color w:val="404040"/>
          <w:sz w:val="22"/>
          <w:szCs w:val="22"/>
        </w:rPr>
        <w:t xml:space="preserve">The Acting Chair presented the minutes from the prior EOC meeting (November 15, 2024) for approval. The Acting Chair invited objections; none were raised.</w:t>
      </w:r>
    </w:p>
    <w:p>
      <w:pPr>
        <w:spacing w:after="120" w:before="0" w:line="276"/>
      </w:pPr>
      <w:r>
        <w:rPr>
          <w:rFonts w:ascii="Calibri" w:cs="Calibri" w:eastAsia="Calibri" w:hAnsi="Calibri"/>
          <w:b/>
          <w:bCs/>
          <w:color w:val="404040"/>
          <w:sz w:val="22"/>
          <w:szCs w:val="22"/>
        </w:rPr>
        <w:t xml:space="preserve">Outcome:</w:t>
      </w:r>
      <w:r>
        <w:rPr>
          <w:rFonts w:ascii="Calibri" w:cs="Calibri" w:eastAsia="Calibri" w:hAnsi="Calibri"/>
          <w:color w:val="404040"/>
          <w:sz w:val="22"/>
          <w:szCs w:val="22"/>
        </w:rPr>
        <w:t xml:space="preserve"> Minutes from the November 15, 2024 EOC meeting were approved by unanimous consent.</w:t>
      </w:r>
    </w:p>
    <w:p>
      <w:pPr>
        <w:pStyle w:val="Heading1"/>
        <w:pBdr>
          <w:bottom w:val="single" w:color="1F3A5F" w:sz="8" w:space="4"/>
        </w:pBdr>
        <w:spacing w:after="160" w:before="320"/>
      </w:pPr>
      <w:r>
        <w:rPr>
          <w:rFonts w:ascii="Calibri" w:cs="Calibri" w:eastAsia="Calibri" w:hAnsi="Calibri"/>
          <w:b/>
          <w:bCs/>
          <w:color w:val="1F3A5F"/>
          <w:sz w:val="28"/>
          <w:szCs w:val="28"/>
        </w:rPr>
        <w:t xml:space="preserve">3. Subcommittee Reports</w:t>
      </w:r>
    </w:p>
    <w:p>
      <w:pPr>
        <w:spacing w:after="120" w:before="0" w:line="276"/>
      </w:pPr>
      <w:r>
        <w:rPr>
          <w:rFonts w:ascii="Calibri" w:cs="Calibri" w:eastAsia="Calibri" w:hAnsi="Calibri"/>
          <w:color w:val="404040"/>
          <w:sz w:val="22"/>
          <w:szCs w:val="22"/>
        </w:rPr>
        <w:t xml:space="preserve">No subcommittee report-outs were delivered. The substantive work of the CCS over the prior month was incorporated into the November 15, 2024 Year 3 / Year 4 review, and this meeting was scheduled exclusively for the Whole Curriculum Review.</w:t>
      </w:r>
    </w:p>
    <w:p>
      <w:pPr>
        <w:pStyle w:val="Heading1"/>
        <w:pBdr>
          <w:bottom w:val="single" w:color="1F3A5F" w:sz="8" w:space="4"/>
        </w:pBdr>
        <w:spacing w:after="160" w:before="320"/>
      </w:pPr>
      <w:r>
        <w:rPr>
          <w:rFonts w:ascii="Calibri" w:cs="Calibri" w:eastAsia="Calibri" w:hAnsi="Calibri"/>
          <w:b/>
          <w:bCs/>
          <w:color w:val="1F3A5F"/>
          <w:sz w:val="28"/>
          <w:szCs w:val="28"/>
        </w:rPr>
        <w:t xml:space="preserve">4. New Business</w:t>
      </w:r>
    </w:p>
    <w:p>
      <w:pPr>
        <w:spacing w:after="120" w:before="0" w:line="276"/>
      </w:pPr>
      <w:r>
        <w:rPr>
          <w:rFonts w:ascii="Calibri" w:cs="Calibri" w:eastAsia="Calibri" w:hAnsi="Calibri"/>
          <w:color w:val="404040"/>
          <w:sz w:val="22"/>
          <w:szCs w:val="22"/>
        </w:rPr>
        <w:t xml:space="preserve">Not raised at this meeting.</w:t>
      </w:r>
    </w:p>
    <w:p>
      <w:pPr>
        <w:pStyle w:val="Heading1"/>
        <w:pBdr>
          <w:bottom w:val="single" w:color="1F3A5F" w:sz="8" w:space="4"/>
        </w:pBdr>
        <w:spacing w:after="160" w:before="320"/>
      </w:pPr>
      <w:r>
        <w:rPr>
          <w:rFonts w:ascii="Calibri" w:cs="Calibri" w:eastAsia="Calibri" w:hAnsi="Calibri"/>
          <w:b/>
          <w:bCs/>
          <w:color w:val="1F3A5F"/>
          <w:sz w:val="28"/>
          <w:szCs w:val="28"/>
        </w:rPr>
        <w:t xml:space="preserve">5. Review of Prior Action Items</w:t>
      </w:r>
    </w:p>
    <w:p>
      <w:pPr>
        <w:spacing w:after="120" w:before="0" w:line="276"/>
      </w:pPr>
      <w:r>
        <w:rPr>
          <w:rFonts w:ascii="Calibri" w:cs="Calibri" w:eastAsia="Calibri" w:hAnsi="Calibri"/>
          <w:color w:val="404040"/>
          <w:sz w:val="22"/>
          <w:szCs w:val="22"/>
        </w:rPr>
        <w:t xml:space="preserve">This meeting closes the AY 2024–2025 LCME Standard 8 Element 8.3 Legacy curriculum review cycle. The action items from the September 20, 2024 Year 1 / Year 2 review and the November 15, 2024 Year 3 / Year 4 review will be consolidated together with the Strategic Action Plan items surfaced at this meeting into a single Legacy-curriculum-review action plan tracked by the Office of Curricular Affairs and the Director of Quality, Compliance, and Accreditation.</w:t>
      </w:r>
    </w:p>
    <w:p>
      <w:pPr>
        <w:pStyle w:val="Heading1"/>
        <w:pBdr>
          <w:bottom w:val="single" w:color="1F3A5F" w:sz="8" w:space="4"/>
        </w:pBdr>
        <w:spacing w:after="160" w:before="320"/>
      </w:pPr>
      <w:r>
        <w:rPr>
          <w:rFonts w:ascii="Calibri" w:cs="Calibri" w:eastAsia="Calibri" w:hAnsi="Calibri"/>
          <w:b/>
          <w:bCs/>
          <w:color w:val="1F3A5F"/>
          <w:sz w:val="28"/>
          <w:szCs w:val="28"/>
        </w:rPr>
        <w:t xml:space="preserve">6. Agenda Items — Review, Discussion, and Voting</w:t>
      </w:r>
    </w:p>
    <w:p>
      <w:pPr>
        <w:pStyle w:val="Heading2"/>
        <w:spacing w:after="120" w:before="280"/>
      </w:pPr>
      <w:r>
        <w:rPr>
          <w:rFonts w:ascii="Calibri" w:cs="Calibri" w:eastAsia="Calibri" w:hAnsi="Calibri"/>
          <w:b/>
          <w:bCs/>
          <w:color w:val="2E5984"/>
          <w:sz w:val="26"/>
          <w:szCs w:val="26"/>
        </w:rPr>
        <w:t xml:space="preserve">6.1  Approval of Minutes — November 15, 2024 EOC Meeting</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[VOTING ITEM]</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Robert Fallar, PhD (Acting Chair)</w:t>
      </w:r>
    </w:p>
    <w:p>
      <w:pPr>
        <w:spacing w:after="120" w:before="0" w:line="276"/>
      </w:pPr>
      <w:r>
        <w:rPr>
          <w:rFonts w:ascii="Calibri" w:cs="Calibri" w:eastAsia="Calibri" w:hAnsi="Calibri"/>
          <w:i/>
          <w:iCs/>
          <w:color w:val="404040"/>
          <w:sz w:val="22"/>
          <w:szCs w:val="22"/>
        </w:rPr>
        <w:t xml:space="preserve">See Section 2 above for the disposition; minutes were approved by unanimous consent.</w:t>
      </w:r>
    </w:p>
    <w:p>
      <w:pPr>
        <w:pStyle w:val="Heading3"/>
        <w:spacing w:after="80" w:before="180"/>
      </w:pPr>
      <w:r>
        <w:rPr>
          <w:rFonts w:ascii="Calibri" w:cs="Calibri" w:eastAsia="Calibri" w:hAnsi="Calibri"/>
          <w:b/>
          <w:bCs/>
          <w:i/>
          <w:iCs/>
          <w:color w:val="404040"/>
          <w:sz w:val="22"/>
          <w:szCs w:val="22"/>
        </w:rPr>
        <w:t xml:space="preserve">Vote — Approval of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To approve the minutes from the November 15, 2024 EOC meeting as circulated.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Moved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Presented by the Acting Chair on the standing agenda.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Seconded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Not named on the record.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In favor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Approved by unanimous consent — Acting Chair invited objections; none were raised.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Opposed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None raised when invited.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Abstentions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None recorded.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Outcome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Motion carried — November 15, 2024 EOC minutes approved by unanimous consent.</w:t>
            </w:r>
          </w:p>
        </w:tc>
      </w:tr>
    </w:tbl>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Approved by unanimous consent.</w:t>
      </w:r>
      <w:r>
        <w:rPr>
          <w:rFonts w:ascii="Calibri" w:cs="Calibri" w:eastAsia="Calibri" w:hAnsi="Calibri"/>
          <w:color w:val="404040"/>
          <w:sz w:val="22"/>
          <w:szCs w:val="22"/>
        </w:rPr>
        <w:t xml:space="preserve"> Minutes filed as part of the EOC record.</w:t>
      </w:r>
    </w:p>
    <w:p>
      <w:pPr>
        <w:pStyle w:val="Heading2"/>
        <w:spacing w:after="120" w:before="280"/>
      </w:pPr>
      <w:r>
        <w:rPr>
          <w:rFonts w:ascii="Calibri" w:cs="Calibri" w:eastAsia="Calibri" w:hAnsi="Calibri"/>
          <w:b/>
          <w:bCs/>
          <w:color w:val="2E5984"/>
          <w:sz w:val="26"/>
          <w:szCs w:val="26"/>
        </w:rPr>
        <w:t xml:space="preserve">6.2  Whole Curriculum Review — Legacy MD Curriculum (4-Year)</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[PRESENTATION]</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Rainier P. Soriano, MD (Sr. Associate Dean for Curricular Affairs)</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8.3 — Curricular Design, Review, Revision, Improvement (focus); 8.1 — Curricular Management; 8.4 — Program Evaluation; 8.2 — Use of MEPOs; 6.3 — Self-Directed and Lifelong Learning; 7.6 — Cultural Competence / Health Care Disparities; 9.1 — Faculty Preparation; 1.1 — Strategic Planning and CQI</w:t>
      </w:r>
    </w:p>
    <w:p>
      <w:pPr>
        <w:pStyle w:val="Heading3"/>
        <w:spacing w:after="80" w:before="180"/>
      </w:pPr>
      <w:r>
        <w:rPr>
          <w:rFonts w:ascii="Calibri" w:cs="Calibri" w:eastAsia="Calibri" w:hAnsi="Calibri"/>
          <w:b/>
          <w:bCs/>
          <w:i/>
          <w:iCs/>
          <w:color w:val="404040"/>
          <w:sz w:val="22"/>
          <w:szCs w:val="22"/>
        </w:rPr>
        <w:t xml:space="preserve">Framing — Whole Curriculum Review Cadence and Final Legacy Review</w:t>
      </w:r>
    </w:p>
    <w:p>
      <w:pPr>
        <w:spacing w:after="120" w:before="0" w:line="276"/>
      </w:pPr>
      <w:r>
        <w:rPr>
          <w:rFonts w:ascii="Calibri" w:cs="Calibri" w:eastAsia="Calibri" w:hAnsi="Calibri"/>
          <w:color w:val="404040"/>
          <w:sz w:val="22"/>
          <w:szCs w:val="22"/>
        </w:rPr>
        <w:t xml:space="preserve">Dr. Rainier P. Soriano presented the Whole Curriculum Review of the Legacy ISMMS MD curriculum to the EOC. The Acting Chair framed the review at the outset: per the school's adopted CQI cadence under LCME Standard 8 Element 8.3, the Whole Curriculum Review is conducted every four years (a faster cadence than the LCME maximum eight-year interval), in addition to per-phase reviews every two years.</w:t>
      </w:r>
    </w:p>
    <w:p>
      <w:pPr>
        <w:spacing w:after="120" w:before="0" w:line="276"/>
      </w:pPr>
      <w:r>
        <w:rPr>
          <w:rFonts w:ascii="Calibri" w:cs="Calibri" w:eastAsia="Calibri" w:hAnsi="Calibri"/>
          <w:b/>
          <w:bCs/>
          <w:color w:val="404040"/>
          <w:sz w:val="22"/>
          <w:szCs w:val="22"/>
        </w:rPr>
        <w:t xml:space="preserve">This is the final Whole Curriculum Review of the Legacy curriculum.</w:t>
      </w:r>
      <w:r>
        <w:rPr>
          <w:rFonts w:ascii="Calibri" w:cs="Calibri" w:eastAsia="Calibri" w:hAnsi="Calibri"/>
          <w:color w:val="404040"/>
          <w:sz w:val="22"/>
          <w:szCs w:val="22"/>
        </w:rPr>
        <w:t xml:space="preserve"> The Acting Chair noted that the November 15, 2024 Year 3 / Year 4 review and the September 20, 2024 Year 1 / Year 2 review have very recently covered much of the underlying material; the Whole Curriculum Review is therefore necessarily redundant with the two phase reviews on many topics, and also lighter on per-phase detail. The compressed sequencing was a function of the AY 2024–2025 calendar requirements.</w:t>
      </w:r>
    </w:p>
    <w:p>
      <w:pPr>
        <w:spacing w:after="120" w:before="0" w:line="276"/>
      </w:pPr>
      <w:r>
        <w:rPr>
          <w:rFonts w:ascii="Calibri" w:cs="Calibri" w:eastAsia="Calibri" w:hAnsi="Calibri"/>
          <w:color w:val="404040"/>
          <w:sz w:val="22"/>
          <w:szCs w:val="22"/>
        </w:rPr>
        <w:t xml:space="preserve">Dr. Soriano described the review's scope as a comprehensive assessment of the four-year Legacy MD curriculum's outcomes and trends, drawing principally on AAMC GQ longitudinal data (2020–2024), USMLE Step 1 and Step 2 outcomes, program-director resident-readiness data, and internal end-of-course and end-of-clerkship evaluations.</w:t>
      </w:r>
    </w:p>
    <w:p>
      <w:pPr>
        <w:pStyle w:val="Heading3"/>
        <w:spacing w:after="80" w:before="180"/>
      </w:pPr>
      <w:r>
        <w:rPr>
          <w:rFonts w:ascii="Calibri" w:cs="Calibri" w:eastAsia="Calibri" w:hAnsi="Calibri"/>
          <w:b/>
          <w:bCs/>
          <w:i/>
          <w:iCs/>
          <w:color w:val="404040"/>
          <w:sz w:val="22"/>
          <w:szCs w:val="22"/>
        </w:rPr>
        <w:t xml:space="preserve">Outcomes Highlights — USMLE, Scholarly Engagement, Student Satisfaction</w:t>
      </w:r>
    </w:p>
    <w:p>
      <w:pPr>
        <w:spacing w:after="120" w:before="0" w:line="276"/>
      </w:pPr>
      <w:r>
        <w:rPr>
          <w:rFonts w:ascii="Calibri" w:cs="Calibri" w:eastAsia="Calibri" w:hAnsi="Calibri"/>
          <w:b/>
          <w:bCs/>
          <w:color w:val="404040"/>
          <w:sz w:val="22"/>
          <w:szCs w:val="22"/>
        </w:rPr>
        <w:t xml:space="preserve">USMLE.</w:t>
      </w:r>
      <w:r>
        <w:rPr>
          <w:rFonts w:ascii="Calibri" w:cs="Calibri" w:eastAsia="Calibri" w:hAnsi="Calibri"/>
          <w:color w:val="404040"/>
          <w:sz w:val="22"/>
          <w:szCs w:val="22"/>
        </w:rPr>
        <w:t xml:space="preserve"> Step 1 and Step 2 failure rates have been consistently low over the past five years (Step 1 averaging ~1.6 failures/year; Step 2 averaging ~0.8). Dr. Soriano attributed this to the rigor of foundational-science and clinical-skills education and to the academic counseling team's effectiveness (led by Drs. Lauren Inkowski and Kelly Lassman).</w:t>
      </w:r>
    </w:p>
    <w:p>
      <w:pPr>
        <w:spacing w:after="120" w:before="0" w:line="276"/>
      </w:pPr>
      <w:r>
        <w:rPr>
          <w:rFonts w:ascii="Calibri" w:cs="Calibri" w:eastAsia="Calibri" w:hAnsi="Calibri"/>
          <w:b/>
          <w:bCs/>
          <w:color w:val="404040"/>
          <w:sz w:val="22"/>
          <w:szCs w:val="22"/>
        </w:rPr>
        <w:t xml:space="preserve">Scholarly engagement.</w:t>
      </w:r>
      <w:r>
        <w:rPr>
          <w:rFonts w:ascii="Calibri" w:cs="Calibri" w:eastAsia="Calibri" w:hAnsi="Calibri"/>
          <w:color w:val="404040"/>
          <w:sz w:val="22"/>
          <w:szCs w:val="22"/>
        </w:rPr>
        <w:t xml:space="preserve"> Student conference presentations have grown 109% since 2020, more than doubling between 2020 and 2024 (with a 2021 dip during the pandemic-related conference disruption). Dr. Soriano attributed the growth to the work of the Medical Student Research Office under Dr. Mary Rojas, and to the flexibility of the curriculum in accommodating scholarly engagement.</w:t>
      </w:r>
    </w:p>
    <w:p>
      <w:pPr>
        <w:spacing w:after="120" w:before="0" w:line="276"/>
      </w:pPr>
      <w:r>
        <w:rPr>
          <w:rFonts w:ascii="Calibri" w:cs="Calibri" w:eastAsia="Calibri" w:hAnsi="Calibri"/>
          <w:b/>
          <w:bCs/>
          <w:color w:val="404040"/>
          <w:sz w:val="22"/>
          <w:szCs w:val="22"/>
        </w:rPr>
        <w:t xml:space="preserve">GQ overall satisfaction.</w:t>
      </w:r>
      <w:r>
        <w:rPr>
          <w:rFonts w:ascii="Calibri" w:cs="Calibri" w:eastAsia="Calibri" w:hAnsi="Calibri"/>
          <w:color w:val="404040"/>
          <w:sz w:val="22"/>
          <w:szCs w:val="22"/>
        </w:rPr>
        <w:t xml:space="preserve"> Satisfaction with quality of education has risen from 85.1% (2020) to 94.4% (2024); self-assessed confidence in clinical skills prior to residency has risen from 83.6% (2020) to ~95% (2024); both metrics now exceed national means. Disaggregated data for students from historically underrepresented backgrounds (URiM) also shows consistent increases over the five years — a result Dr. Soriano credited to the work of the Office of Diversity and Inclusion / CMCA under Dr. Ann-Gel Palermo.</w:t>
      </w:r>
    </w:p>
    <w:p>
      <w:pPr>
        <w:spacing w:after="120" w:before="0" w:line="276"/>
      </w:pPr>
      <w:r>
        <w:rPr>
          <w:rFonts w:ascii="Calibri" w:cs="Calibri" w:eastAsia="Calibri" w:hAnsi="Calibri"/>
          <w:b/>
          <w:bCs/>
          <w:color w:val="404040"/>
          <w:sz w:val="22"/>
          <w:szCs w:val="22"/>
        </w:rPr>
        <w:t xml:space="preserve">Phase-level satisfaction.</w:t>
      </w:r>
      <w:r>
        <w:rPr>
          <w:rFonts w:ascii="Calibri" w:cs="Calibri" w:eastAsia="Calibri" w:hAnsi="Calibri"/>
          <w:color w:val="404040"/>
          <w:sz w:val="22"/>
          <w:szCs w:val="22"/>
        </w:rPr>
        <w:t xml:space="preserve"> Pre-clerkship phase satisfaction improved slightly to 87.9%; utility-of-Phase-1-content-for-clerkships rated 81.2% (just above the CQI threshold — flagged as room for improvement). Clerkship phase satisfaction remains over 97%.</w:t>
      </w:r>
    </w:p>
    <w:p>
      <w:pPr>
        <w:pStyle w:val="Heading3"/>
        <w:spacing w:after="80" w:before="180"/>
      </w:pPr>
      <w:r>
        <w:rPr>
          <w:rFonts w:ascii="Calibri" w:cs="Calibri" w:eastAsia="Calibri" w:hAnsi="Calibri"/>
          <w:b/>
          <w:bCs/>
          <w:i/>
          <w:iCs/>
          <w:color w:val="404040"/>
          <w:sz w:val="22"/>
          <w:szCs w:val="22"/>
        </w:rPr>
        <w:t xml:space="preserve">Preparedness for Practice</w:t>
      </w:r>
    </w:p>
    <w:p>
      <w:pPr>
        <w:spacing w:after="120" w:before="0" w:line="276"/>
      </w:pPr>
      <w:r>
        <w:rPr>
          <w:rFonts w:ascii="Calibri" w:cs="Calibri" w:eastAsia="Calibri" w:hAnsi="Calibri"/>
          <w:color w:val="404040"/>
          <w:sz w:val="22"/>
          <w:szCs w:val="22"/>
        </w:rPr>
        <w:t xml:space="preserve">GQ preparedness items: students consistently rate themselves highly on diverse patient care and addressing social determinants of health from 2020 through 2024; understanding of social sciences (ethics, humanism) has shown steady improvement; communication preparedness reached 100% agreement in 2024; preparedness in evidence-based medicine rose from 91.9% to 98%, and self-reported confidence managing common conditions in major disciplines (outside match specialty) reached ~96% in 2024. Program-director feedback via the Resident Readiness Survey: 90% report graduates exceptionally prepared for GME; 32% exceeded expectations in the first six months, outperforming the ~20% national average.</w:t>
      </w:r>
    </w:p>
    <w:p>
      <w:pPr>
        <w:pStyle w:val="Heading3"/>
        <w:spacing w:after="80" w:before="180"/>
      </w:pPr>
      <w:r>
        <w:rPr>
          <w:rFonts w:ascii="Calibri" w:cs="Calibri" w:eastAsia="Calibri" w:hAnsi="Calibri"/>
          <w:b/>
          <w:bCs/>
          <w:i/>
          <w:iCs/>
          <w:color w:val="404040"/>
          <w:sz w:val="22"/>
          <w:szCs w:val="22"/>
        </w:rPr>
        <w:t xml:space="preserve">Match Trends</w:t>
      </w:r>
    </w:p>
    <w:p>
      <w:pPr>
        <w:spacing w:after="120" w:before="0" w:line="276"/>
      </w:pPr>
      <w:r>
        <w:rPr>
          <w:rFonts w:ascii="Calibri" w:cs="Calibri" w:eastAsia="Calibri" w:hAnsi="Calibri"/>
          <w:color w:val="404040"/>
          <w:sz w:val="22"/>
          <w:szCs w:val="22"/>
        </w:rPr>
        <w:t xml:space="preserve">Growth specialties (pediatrics, ob/gyn, neurology, family medicine — match rates increased &gt;3% over 5 years). Stable specialties (internal medicine, anesthesiology, orthopedics, psychiatry, general surgery — fluctuating within ±2–3%). Declining specialties (emergency medicine has dropped significantly, attributed in part to national post-pandemic trends; urology and radiology have both declined to ~1.5% match rate). Dr. Soriano flagged the declining specialties as requiring increased mentorship and career-development exposure.</w:t>
      </w:r>
    </w:p>
    <w:p>
      <w:pPr>
        <w:pStyle w:val="Heading3"/>
        <w:spacing w:after="80" w:before="180"/>
      </w:pPr>
      <w:r>
        <w:rPr>
          <w:rFonts w:ascii="Calibri" w:cs="Calibri" w:eastAsia="Calibri" w:hAnsi="Calibri"/>
          <w:b/>
          <w:bCs/>
          <w:i/>
          <w:iCs/>
          <w:color w:val="404040"/>
          <w:sz w:val="22"/>
          <w:szCs w:val="22"/>
        </w:rPr>
        <w:t xml:space="preserve">Challenges — Phase 1 Foundational Courses and MEPO Gaps</w:t>
      </w:r>
    </w:p>
    <w:p>
      <w:pPr>
        <w:spacing w:after="120" w:before="0" w:line="276"/>
      </w:pPr>
      <w:r>
        <w:rPr>
          <w:rFonts w:ascii="Calibri" w:cs="Calibri" w:eastAsia="Calibri" w:hAnsi="Calibri"/>
          <w:color w:val="404040"/>
          <w:sz w:val="22"/>
          <w:szCs w:val="22"/>
        </w:rPr>
        <w:t xml:space="preserve">Phase 1 foundational-course challenges (GQ): biochemistry; biostatistics/epidemiology; histology; anatomy/microanatomy. The AAMC GQ aggregates organ-system Pathophys content into a single 'pathophysiology of disease' category, in which ISMMS continues to perform strongly across all organ-system blocks. Physiology has been integrated across modules. The Art and Science of Medicine (ASM) course remains a Phase 1 strength.</w:t>
      </w:r>
    </w:p>
    <w:p>
      <w:pPr>
        <w:spacing w:after="120" w:before="0" w:line="276"/>
      </w:pPr>
      <w:r>
        <w:rPr>
          <w:rFonts w:ascii="Calibri" w:cs="Calibri" w:eastAsia="Calibri" w:hAnsi="Calibri"/>
          <w:b/>
          <w:bCs/>
          <w:color w:val="404040"/>
          <w:sz w:val="22"/>
          <w:szCs w:val="22"/>
        </w:rPr>
        <w:t xml:space="preserve">Four MEPO gaps in instruction and assessment</w:t>
      </w:r>
      <w:r>
        <w:rPr>
          <w:rFonts w:ascii="Calibri" w:cs="Calibri" w:eastAsia="Calibri" w:hAnsi="Calibri"/>
          <w:color w:val="404040"/>
          <w:sz w:val="22"/>
          <w:szCs w:val="22"/>
        </w:rPr>
        <w:t xml:space="preserve"> identified in the review:</w:t>
      </w:r>
    </w:p>
    <w:p>
      <w:pPr>
        <w:pStyle w:val="ListParagraph"/>
        <w:numPr>
          <w:ilvl w:val="0"/>
          <w:numId w:val="2"/>
        </w:numPr>
        <w:spacing w:after="60" w:before="0" w:line="276"/>
      </w:pPr>
      <w:r>
        <w:rPr>
          <w:rFonts w:ascii="Calibri" w:cs="Calibri" w:eastAsia="Calibri" w:hAnsi="Calibri"/>
          <w:b/>
          <w:bCs/>
          <w:color w:val="404040"/>
          <w:sz w:val="22"/>
          <w:szCs w:val="22"/>
        </w:rPr>
        <w:t xml:space="preserve">MEPO — Patient Care / Transitions:</w:t>
      </w:r>
      <w:r>
        <w:rPr>
          <w:rFonts w:ascii="Calibri" w:cs="Calibri" w:eastAsia="Calibri" w:hAnsi="Calibri"/>
          <w:color w:val="404040"/>
          <w:sz w:val="22"/>
          <w:szCs w:val="22"/>
        </w:rPr>
        <w:t xml:space="preserve"> appropriate referral of patients, including transitions of care.</w:t>
      </w:r>
    </w:p>
    <w:p>
      <w:pPr>
        <w:pStyle w:val="ListParagraph"/>
        <w:numPr>
          <w:ilvl w:val="0"/>
          <w:numId w:val="2"/>
        </w:numPr>
        <w:spacing w:after="60" w:before="0" w:line="276"/>
      </w:pPr>
      <w:r>
        <w:rPr>
          <w:rFonts w:ascii="Calibri" w:cs="Calibri" w:eastAsia="Calibri" w:hAnsi="Calibri"/>
          <w:b/>
          <w:bCs/>
          <w:color w:val="404040"/>
          <w:sz w:val="22"/>
          <w:szCs w:val="22"/>
        </w:rPr>
        <w:t xml:space="preserve">MEPO — Practice-Based Learning and Improvement:</w:t>
      </w:r>
      <w:r>
        <w:rPr>
          <w:rFonts w:ascii="Calibri" w:cs="Calibri" w:eastAsia="Calibri" w:hAnsi="Calibri"/>
          <w:color w:val="404040"/>
          <w:sz w:val="22"/>
          <w:szCs w:val="22"/>
        </w:rPr>
        <w:t xml:space="preserve"> development of situational and self-awareness applied to medical practice.</w:t>
      </w:r>
    </w:p>
    <w:p>
      <w:pPr>
        <w:pStyle w:val="ListParagraph"/>
        <w:numPr>
          <w:ilvl w:val="0"/>
          <w:numId w:val="2"/>
        </w:numPr>
        <w:spacing w:after="60" w:before="0" w:line="276"/>
      </w:pPr>
      <w:r>
        <w:rPr>
          <w:rFonts w:ascii="Calibri" w:cs="Calibri" w:eastAsia="Calibri" w:hAnsi="Calibri"/>
          <w:b/>
          <w:bCs/>
          <w:color w:val="404040"/>
          <w:sz w:val="22"/>
          <w:szCs w:val="22"/>
        </w:rPr>
        <w:t xml:space="preserve">MEPO — Personal and Professional Development:</w:t>
      </w:r>
      <w:r>
        <w:rPr>
          <w:rFonts w:ascii="Calibri" w:cs="Calibri" w:eastAsia="Calibri" w:hAnsi="Calibri"/>
          <w:color w:val="404040"/>
          <w:sz w:val="22"/>
          <w:szCs w:val="22"/>
        </w:rPr>
        <w:t xml:space="preserve"> employing strategies around feedback.</w:t>
      </w:r>
    </w:p>
    <w:p>
      <w:pPr>
        <w:pStyle w:val="ListParagraph"/>
        <w:numPr>
          <w:ilvl w:val="0"/>
          <w:numId w:val="2"/>
        </w:numPr>
        <w:spacing w:after="60" w:before="0" w:line="276"/>
      </w:pPr>
      <w:r>
        <w:rPr>
          <w:rFonts w:ascii="Calibri" w:cs="Calibri" w:eastAsia="Calibri" w:hAnsi="Calibri"/>
          <w:b/>
          <w:bCs/>
          <w:color w:val="404040"/>
          <w:sz w:val="22"/>
          <w:szCs w:val="22"/>
        </w:rPr>
        <w:t xml:space="preserve">MEPO — Anti-Oppression (ISMMS-unique):</w:t>
      </w:r>
      <w:r>
        <w:rPr>
          <w:rFonts w:ascii="Calibri" w:cs="Calibri" w:eastAsia="Calibri" w:hAnsi="Calibri"/>
          <w:color w:val="404040"/>
          <w:sz w:val="22"/>
          <w:szCs w:val="22"/>
        </w:rPr>
        <w:t xml:space="preserve"> anti-oppression instruction and assessment, on which the EOC has already directed expanded instruction and assessment.</w:t>
      </w:r>
    </w:p>
    <w:p>
      <w:pPr>
        <w:spacing w:after="120" w:before="0" w:line="276"/>
      </w:pPr>
      <w:r>
        <w:rPr>
          <w:rFonts w:ascii="Calibri" w:cs="Calibri" w:eastAsia="Calibri" w:hAnsi="Calibri"/>
          <w:color w:val="404040"/>
          <w:sz w:val="22"/>
          <w:szCs w:val="22"/>
        </w:rPr>
        <w:t xml:space="preserve">Assessment trends: courses such as pathology, renal, and endocrinology show near-zero failure rates; structures and brain-behavior show greater variability. Multi-exam long courses show higher failure rates on later exams (potential content-overload/fatigue factor) — pointing to optimization opportunities.</w:t>
      </w:r>
    </w:p>
    <w:p>
      <w:pPr>
        <w:pStyle w:val="Heading3"/>
        <w:spacing w:after="80" w:before="180"/>
      </w:pPr>
      <w:r>
        <w:rPr>
          <w:rFonts w:ascii="Calibri" w:cs="Calibri" w:eastAsia="Calibri" w:hAnsi="Calibri"/>
          <w:b/>
          <w:bCs/>
          <w:i/>
          <w:iCs/>
          <w:color w:val="404040"/>
          <w:sz w:val="22"/>
          <w:szCs w:val="22"/>
        </w:rPr>
        <w:t xml:space="preserve">Strategic Action Plan — ASCEND Transition</w:t>
      </w:r>
    </w:p>
    <w:p>
      <w:pPr>
        <w:spacing w:after="120" w:before="0" w:line="276"/>
      </w:pPr>
      <w:r>
        <w:rPr>
          <w:rFonts w:ascii="Calibri" w:cs="Calibri" w:eastAsia="Calibri" w:hAnsi="Calibri"/>
          <w:color w:val="404040"/>
          <w:sz w:val="22"/>
          <w:szCs w:val="22"/>
        </w:rPr>
        <w:t xml:space="preserve">Dr. Soriano summarized the Strategic Action Plan items emerging from this Whole Curriculum Review:</w:t>
      </w:r>
    </w:p>
    <w:p>
      <w:pPr>
        <w:pStyle w:val="ListParagraph"/>
        <w:numPr>
          <w:ilvl w:val="0"/>
          <w:numId w:val="2"/>
        </w:numPr>
        <w:spacing w:after="60" w:before="0" w:line="276"/>
      </w:pPr>
      <w:r>
        <w:rPr>
          <w:rFonts w:ascii="Calibri" w:cs="Calibri" w:eastAsia="Calibri" w:hAnsi="Calibri"/>
          <w:b/>
          <w:bCs/>
          <w:color w:val="404040"/>
          <w:sz w:val="22"/>
          <w:szCs w:val="22"/>
        </w:rPr>
        <w:t xml:space="preserve">Targeted mentorship for underserved specialties</w:t>
      </w:r>
      <w:r>
        <w:rPr>
          <w:rFonts w:ascii="Calibri" w:cs="Calibri" w:eastAsia="Calibri" w:hAnsi="Calibri"/>
          <w:color w:val="404040"/>
          <w:sz w:val="22"/>
          <w:szCs w:val="22"/>
        </w:rPr>
        <w:t xml:space="preserve"> — addressing declining match rates in EM, urology, radiology with increased exposure and mentorship.</w:t>
      </w:r>
    </w:p>
    <w:p>
      <w:pPr>
        <w:pStyle w:val="ListParagraph"/>
        <w:numPr>
          <w:ilvl w:val="0"/>
          <w:numId w:val="2"/>
        </w:numPr>
        <w:spacing w:after="60" w:before="0" w:line="276"/>
      </w:pPr>
      <w:r>
        <w:rPr>
          <w:rFonts w:ascii="Calibri" w:cs="Calibri" w:eastAsia="Calibri" w:hAnsi="Calibri"/>
          <w:b/>
          <w:bCs/>
          <w:color w:val="404040"/>
          <w:sz w:val="22"/>
          <w:szCs w:val="22"/>
        </w:rPr>
        <w:t xml:space="preserve">Broader integration of anti-oppression</w:t>
      </w:r>
      <w:r>
        <w:rPr>
          <w:rFonts w:ascii="Calibri" w:cs="Calibri" w:eastAsia="Calibri" w:hAnsi="Calibri"/>
          <w:color w:val="404040"/>
          <w:sz w:val="22"/>
          <w:szCs w:val="22"/>
        </w:rPr>
        <w:t xml:space="preserve"> instruction and assessment across the curriculum (MEPO-gap-driven).</w:t>
      </w:r>
    </w:p>
    <w:p>
      <w:pPr>
        <w:pStyle w:val="ListParagraph"/>
        <w:numPr>
          <w:ilvl w:val="0"/>
          <w:numId w:val="2"/>
        </w:numPr>
        <w:spacing w:after="60" w:before="0" w:line="276"/>
      </w:pPr>
      <w:r>
        <w:rPr>
          <w:rFonts w:ascii="Calibri" w:cs="Calibri" w:eastAsia="Calibri" w:hAnsi="Calibri"/>
          <w:b/>
          <w:bCs/>
          <w:color w:val="404040"/>
          <w:sz w:val="22"/>
          <w:szCs w:val="22"/>
        </w:rPr>
        <w:t xml:space="preserve">Alignment of pre-clinical and clinical phases</w:t>
      </w:r>
      <w:r>
        <w:rPr>
          <w:rFonts w:ascii="Calibri" w:cs="Calibri" w:eastAsia="Calibri" w:hAnsi="Calibri"/>
          <w:color w:val="404040"/>
          <w:sz w:val="22"/>
          <w:szCs w:val="22"/>
        </w:rPr>
        <w:t xml:space="preserve"> — building on Legacy improvements to extend integration into ASCEND.</w:t>
      </w:r>
    </w:p>
    <w:p>
      <w:pPr>
        <w:pStyle w:val="ListParagraph"/>
        <w:numPr>
          <w:ilvl w:val="0"/>
          <w:numId w:val="2"/>
        </w:numPr>
        <w:spacing w:after="60" w:before="0" w:line="276"/>
      </w:pPr>
      <w:r>
        <w:rPr>
          <w:rFonts w:ascii="Calibri" w:cs="Calibri" w:eastAsia="Calibri" w:hAnsi="Calibri"/>
          <w:b/>
          <w:bCs/>
          <w:color w:val="404040"/>
          <w:sz w:val="22"/>
          <w:szCs w:val="22"/>
        </w:rPr>
        <w:t xml:space="preserve">ASCEND curricular design improvements</w:t>
      </w:r>
      <w:r>
        <w:rPr>
          <w:rFonts w:ascii="Calibri" w:cs="Calibri" w:eastAsia="Calibri" w:hAnsi="Calibri"/>
          <w:color w:val="404040"/>
          <w:sz w:val="22"/>
          <w:szCs w:val="22"/>
        </w:rPr>
        <w:t xml:space="preserve"> — reducing cognitive overload and unplanned redundancies; strengthening foundational-science/clinical alignment; embedding career differentiation, mentorship, and the longer three-phase runway.</w:t>
      </w:r>
    </w:p>
    <w:p>
      <w:pPr>
        <w:pStyle w:val="Heading3"/>
        <w:spacing w:after="80" w:before="180"/>
      </w:pPr>
      <w:r>
        <w:rPr>
          <w:rFonts w:ascii="Calibri" w:cs="Calibri" w:eastAsia="Calibri" w:hAnsi="Calibri"/>
          <w:b/>
          <w:bCs/>
          <w:i/>
          <w:iCs/>
          <w:color w:val="404040"/>
          <w:sz w:val="22"/>
          <w:szCs w:val="22"/>
        </w:rPr>
        <w:t xml:space="preserve">Member Discussion — Professionalism Guidelines / MEPO 18 Alignment</w:t>
      </w:r>
    </w:p>
    <w:p>
      <w:pPr>
        <w:spacing w:after="120" w:before="0" w:line="276"/>
      </w:pPr>
      <w:r>
        <w:rPr>
          <w:rFonts w:ascii="Calibri" w:cs="Calibri" w:eastAsia="Calibri" w:hAnsi="Calibri"/>
          <w:color w:val="404040"/>
          <w:sz w:val="22"/>
          <w:szCs w:val="22"/>
        </w:rPr>
        <w:t xml:space="preserve">Dr. Kris Alpi (a member of the Professionalism Guidelines Committee chaired by Dr. Craig Katz) raised the alignment between the school's emerging professionalism guidelines and MEPO 18 (Personal and Professional Development — seeking, receiving, acting on, and delivering feedback). Dr. Soriano responded that this connection had been discussed at a meeting earlier the same week with Dr. Teddy Holzer (also a member of the Professionalism Guidelines Committee) and indicated that alignment of the professionalism guidelines with the operative MEPO framework is critical. Dr. Soriano emphasized that the school's current limitation is structural: there is no built-in mechanism to assess students against many of the professionalism MEPOs, and the introduction of CCMs together with the CaPD advisors in ASCEND is the principal path forward for developmental assessment of these behaviors.</w:t>
      </w:r>
    </w:p>
    <w:p>
      <w:pPr>
        <w:spacing w:after="120" w:before="0" w:line="276"/>
      </w:pPr>
      <w:r>
        <w:rPr>
          <w:rFonts w:ascii="Calibri" w:cs="Calibri" w:eastAsia="Calibri" w:hAnsi="Calibri"/>
          <w:color w:val="404040"/>
          <w:sz w:val="22"/>
          <w:szCs w:val="22"/>
        </w:rPr>
        <w:t xml:space="preserve">Dr. Valerie Parkas amplified Dr. Alpi's point, urging that the moment not be lost: Dr. Katz's working group includes Dr. Holzer, Ms. Kelly Lastman, and others; the work is in all relevant offices' interest, and a concrete next step is needed.</w:t>
      </w:r>
    </w:p>
    <w:p>
      <w:pPr>
        <w:pStyle w:val="Heading3"/>
        <w:spacing w:after="80" w:before="180"/>
      </w:pPr>
      <w:r>
        <w:rPr>
          <w:rFonts w:ascii="Calibri" w:cs="Calibri" w:eastAsia="Calibri" w:hAnsi="Calibri"/>
          <w:b/>
          <w:bCs/>
          <w:i/>
          <w:iCs/>
          <w:color w:val="404040"/>
          <w:sz w:val="22"/>
          <w:szCs w:val="22"/>
        </w:rPr>
        <w:t xml:space="preserve">Member Discussion — Scholarly Activity Categorization</w:t>
      </w:r>
    </w:p>
    <w:p>
      <w:pPr>
        <w:spacing w:after="120" w:before="0" w:line="276"/>
      </w:pPr>
      <w:r>
        <w:rPr>
          <w:rFonts w:ascii="Calibri" w:cs="Calibri" w:eastAsia="Calibri" w:hAnsi="Calibri"/>
          <w:color w:val="404040"/>
          <w:sz w:val="22"/>
          <w:szCs w:val="22"/>
        </w:rPr>
        <w:t xml:space="preserve">Dr. Mary Rojas clarified that the slide identifying biostatistics/epidemiology as a Phase 1 challenge reflects specifically the GQ rating of student preparation for clinical clerkships, not student engagement with scholarly research; ISMMS students engage extensively with scholarly activity (publication and conference presentation) even where Phase 1 GQ ratings for the underlying skill remain below national means. Dr. Soriano accepted the clarification: the gap is principally in the clinical application of these methods, not in scholarly productivity.</w:t>
      </w:r>
    </w:p>
    <w:p>
      <w:pPr>
        <w:pStyle w:val="Heading3"/>
        <w:spacing w:after="80" w:before="180"/>
      </w:pPr>
      <w:r>
        <w:rPr>
          <w:rFonts w:ascii="Calibri" w:cs="Calibri" w:eastAsia="Calibri" w:hAnsi="Calibri"/>
          <w:b/>
          <w:bCs/>
          <w:i/>
          <w:iCs/>
          <w:color w:val="404040"/>
          <w:sz w:val="22"/>
          <w:szCs w:val="22"/>
        </w:rPr>
        <w:t xml:space="preserve">Report Distribution and DCI Citation</w:t>
      </w:r>
    </w:p>
    <w:p>
      <w:pPr>
        <w:spacing w:after="120" w:before="0" w:line="276"/>
      </w:pPr>
      <w:r>
        <w:rPr>
          <w:rFonts w:ascii="Calibri" w:cs="Calibri" w:eastAsia="Calibri" w:hAnsi="Calibri"/>
          <w:color w:val="404040"/>
          <w:sz w:val="22"/>
          <w:szCs w:val="22"/>
        </w:rPr>
        <w:t xml:space="preserve">Dr. Alpi requested clarification of the school's convention regarding sharing the Whole Curriculum Review report with the Levy Library team. Dr. Soriano confirmed that the institutional convention treating EOC discussion materials as confidential does not preclude sharing the Whole Curriculum Review report itself, since the review will be cited in the institution's LCME Data Collection Instrument (DCI) for the AY 2027–2028 site visit. The Acting Chair confirmed.</w:t>
      </w:r>
    </w:p>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Discussion item; no formal vote at this presentation.</w:t>
      </w:r>
      <w:r>
        <w:rPr>
          <w:rFonts w:ascii="Calibri" w:cs="Calibri" w:eastAsia="Calibri" w:hAnsi="Calibri"/>
          <w:color w:val="404040"/>
          <w:sz w:val="22"/>
          <w:szCs w:val="22"/>
        </w:rPr>
        <w:t xml:space="preserve"> The Whole Curriculum Review of the Legacy curriculum was received by the EOC and closes the AY 2024–2025 LCME Standard 8 Element 8.3 review cycle for the Legacy curriculum. The full written report will be circulated to the EOC and will be cited in the LCME DCI for the AY 2027–2028 site visit. The Strategic Action Plan items, in combination with the action items captured at the September 20, 2024 and November 15, 2024 phase reviews, will be consolidated into a single Legacy-curriculum-review action plan tracked by the Office of Curricular Affairs and the Director of Quality, Compliance, and Accreditation.</w:t>
      </w:r>
    </w:p>
    <w:p>
      <w:pPr>
        <w:pStyle w:val="Heading1"/>
        <w:pBdr>
          <w:bottom w:val="single" w:color="1F3A5F" w:sz="8" w:space="4"/>
        </w:pBdr>
        <w:spacing w:after="160" w:before="320"/>
      </w:pPr>
      <w:r>
        <w:rPr>
          <w:rFonts w:ascii="Calibri" w:cs="Calibri" w:eastAsia="Calibri" w:hAnsi="Calibri"/>
          <w:b/>
          <w:bCs/>
          <w:color w:val="1F3A5F"/>
          <w:sz w:val="28"/>
          <w:szCs w:val="28"/>
        </w:rPr>
        <w:t xml:space="preserve">7. Summary of Action Items</w:t>
      </w:r>
    </w:p>
    <w:p>
      <w:pPr>
        <w:spacing w:after="120" w:before="0" w:line="276"/>
      </w:pPr>
      <w:r>
        <w:rPr>
          <w:rFonts w:ascii="Calibri" w:cs="Calibri" w:eastAsia="Calibri" w:hAnsi="Calibri"/>
          <w:color w:val="404040"/>
          <w:sz w:val="22"/>
          <w:szCs w:val="22"/>
        </w:rPr>
        <w:t xml:space="preserve">Action items arising from this meeting are recorded in Appendix A (combined action register) at the end of these minutes. The register is the primary documentation record and is updated at each subsequent meeting as items are implemented and closed.</w:t>
      </w:r>
    </w:p>
    <w:p>
      <w:pPr>
        <w:pStyle w:val="Heading1"/>
        <w:pBdr>
          <w:bottom w:val="single" w:color="1F3A5F" w:sz="8" w:space="4"/>
        </w:pBdr>
        <w:spacing w:after="160" w:before="320"/>
      </w:pPr>
      <w:r>
        <w:rPr>
          <w:rFonts w:ascii="Calibri" w:cs="Calibri" w:eastAsia="Calibri" w:hAnsi="Calibri"/>
          <w:b/>
          <w:bCs/>
          <w:color w:val="1F3A5F"/>
          <w:sz w:val="28"/>
          <w:szCs w:val="28"/>
        </w:rPr>
        <w:t xml:space="preserve">8. Next Meeting and Adjournment</w:t>
      </w:r>
    </w:p>
    <w:p>
      <w:pPr>
        <w:spacing w:after="120"/>
      </w:pPr>
      <w:r>
        <w:rPr>
          <w:rFonts w:ascii="Calibri" w:cs="Calibri" w:eastAsia="Calibri" w:hAnsi="Calibri"/>
          <w:b/>
          <w:bCs/>
          <w:color w:val="1F3A5F"/>
          <w:sz w:val="22"/>
          <w:szCs w:val="22"/>
        </w:rPr>
        <w:t xml:space="preserve">Adjournment: </w:t>
      </w:r>
      <w:r>
        <w:rPr>
          <w:rFonts w:ascii="Calibri" w:cs="Calibri" w:eastAsia="Calibri" w:hAnsi="Calibri"/>
          <w:color w:val="404040"/>
          <w:sz w:val="22"/>
          <w:szCs w:val="22"/>
        </w:rPr>
        <w:t xml:space="preserve">There being no further comments raised when invited by the Acting Chair, and approximately 22 minutes remaining on the scheduled meeting block, Dr. Fallar declared the meeting adjourned. The Acting Chair wished members happy holidays and a restful break and confirmed the next scheduled EOC meeting on Friday, January 10, 2025.</w:t>
      </w:r>
    </w:p>
    <w:p>
      <w:pPr>
        <w:spacing w:after="120"/>
      </w:pPr>
      <w:r>
        <w:rPr>
          <w:rFonts w:ascii="Calibri" w:cs="Calibri" w:eastAsia="Calibri" w:hAnsi="Calibri"/>
          <w:b/>
          <w:bCs/>
          <w:color w:val="1F3A5F"/>
          <w:sz w:val="22"/>
          <w:szCs w:val="22"/>
        </w:rPr>
        <w:t xml:space="preserve">Next Scheduled Meeting: </w:t>
      </w:r>
      <w:r>
        <w:rPr>
          <w:rFonts w:ascii="Calibri" w:cs="Calibri" w:eastAsia="Calibri" w:hAnsi="Calibri"/>
          <w:color w:val="404040"/>
          <w:sz w:val="22"/>
          <w:szCs w:val="22"/>
        </w:rPr>
        <w:t xml:space="preserve">January 10, 2025 — first EOC meeting of the new calendar year</w:t>
      </w:r>
    </w:p>
    <w:p>
      <w:pPr>
        <w:pStyle w:val="Heading1"/>
        <w:pBdr>
          <w:bottom w:val="single" w:color="1F3A5F" w:sz="8" w:space="4"/>
        </w:pBdr>
        <w:spacing w:after="160" w:before="320"/>
      </w:pPr>
      <w:r>
        <w:rPr>
          <w:rFonts w:ascii="Calibri" w:cs="Calibri" w:eastAsia="Calibri" w:hAnsi="Calibri"/>
          <w:b/>
          <w:bCs/>
          <w:color w:val="1F3A5F"/>
          <w:sz w:val="28"/>
          <w:szCs w:val="28"/>
        </w:rPr>
        <w:t xml:space="preserve">9. Attestation</w:t>
      </w:r>
    </w:p>
    <w:p>
      <w:pPr>
        <w:spacing w:after="120" w:before="0" w:line="276"/>
      </w:pPr>
      <w:r>
        <w:rPr>
          <w:rFonts w:ascii="Calibri" w:cs="Calibri" w:eastAsia="Calibri" w:hAnsi="Calibri"/>
          <w:color w:val="404040"/>
          <w:sz w:val="22"/>
          <w:szCs w:val="22"/>
        </w:rPr>
        <w:t xml:space="preserve">These minutes are submitted as an accurate record of the proceedings of the Executive Oversight Committee on December 13, 2024. Minutes are prepared in alignment with LCME Element 8.1 (Curricular Management) documentation expectations and are subject to formal approval by the EOC at its next regular meeting.</w:t>
      </w:r>
    </w:p>
    <w:p>
      <w:pPr>
        <w:spacing w:after="120" w:before="0" w:line="276"/>
      </w:pPr>
    </w:p>
    <w:p>
      <w:pPr>
        <w:spacing w:after="60"/>
      </w:pPr>
      <w:r>
        <w:rPr>
          <w:rFonts w:ascii="Calibri" w:cs="Calibri" w:eastAsia="Calibri" w:hAnsi="Calibri"/>
          <w:b/>
          <w:bCs/>
          <w:color w:val="1F3A5F"/>
          <w:sz w:val="22"/>
          <w:szCs w:val="22"/>
        </w:rPr>
        <w:t xml:space="preserve">Submitted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Recording Secretary, Executive Oversight Committee</w:t>
      </w:r>
    </w:p>
    <w:p>
      <w:pPr>
        <w:spacing w:after="120" w:before="0" w:line="276"/>
      </w:pPr>
    </w:p>
    <w:p>
      <w:pPr>
        <w:spacing w:after="60"/>
      </w:pPr>
      <w:r>
        <w:rPr>
          <w:rFonts w:ascii="Calibri" w:cs="Calibri" w:eastAsia="Calibri" w:hAnsi="Calibri"/>
          <w:b/>
          <w:bCs/>
          <w:color w:val="1F3A5F"/>
          <w:sz w:val="22"/>
          <w:szCs w:val="22"/>
        </w:rPr>
        <w:t xml:space="preserve">Approved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Robert Fallar — Chair, Executive Oversight Committee</w:t>
      </w:r>
    </w:p>
    <w:p>
      <w:pPr>
        <w:spacing w:after="120" w:before="0" w:line="276"/>
      </w:pPr>
    </w:p>
    <w:p>
      <w:pPr>
        <w:spacing w:after="60"/>
      </w:pPr>
      <w:r>
        <w:rPr>
          <w:rFonts w:ascii="Calibri" w:cs="Calibri" w:eastAsia="Calibri" w:hAnsi="Calibri"/>
          <w:b/>
          <w:bCs/>
          <w:color w:val="1F3A5F"/>
          <w:sz w:val="22"/>
          <w:szCs w:val="22"/>
        </w:rPr>
        <w:t xml:space="preserve">Date of Approval: </w:t>
      </w:r>
      <w:r>
        <w:rPr>
          <w:rFonts w:ascii="Calibri" w:cs="Calibri" w:eastAsia="Calibri" w:hAnsi="Calibri"/>
          <w:color w:val="404040"/>
          <w:sz w:val="22"/>
          <w:szCs w:val="22"/>
        </w:rPr>
        <w:t xml:space="preserve">____________________</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1F3A5F" w:sz="8" w:space="4"/>
        </w:pBdr>
        <w:spacing w:after="160" w:before="320"/>
      </w:pPr>
      <w:r>
        <w:rPr>
          <w:rFonts w:ascii="Calibri" w:cs="Calibri" w:eastAsia="Calibri" w:hAnsi="Calibri"/>
          <w:b/>
          <w:bCs/>
          <w:color w:val="1F3A5F"/>
          <w:sz w:val="28"/>
          <w:szCs w:val="28"/>
        </w:rPr>
        <w:t xml:space="preserve">Appendix A — EOC Combined Action Register</w:t>
      </w:r>
    </w:p>
    <w:p>
      <w:pPr>
        <w:spacing w:after="120" w:before="0" w:line="276"/>
      </w:pPr>
      <w:r>
        <w:rPr>
          <w:rFonts w:ascii="Calibri" w:cs="Calibri" w:eastAsia="Calibri" w:hAnsi="Calibri"/>
          <w:color w:val="404040"/>
          <w:sz w:val="22"/>
          <w:szCs w:val="22"/>
        </w:rPr>
        <w:t xml:space="preserve">This register records all action items arising from the meeting, both educational and operational. It is carried forward at each meeting and updated as items are implemented and closed.</w:t>
      </w:r>
    </w:p>
    <w:p>
      <w:pPr>
        <w:spacing w:after="120" w:before="0" w:line="276"/>
      </w:pPr>
      <w:r>
        <w:rPr>
          <w:rFonts w:ascii="Calibri" w:cs="Calibri" w:eastAsia="Calibri" w:hAnsi="Calibri"/>
          <w:i/>
          <w:iCs/>
          <w:color w:val="404040"/>
          <w:sz w:val="22"/>
          <w:szCs w:val="22"/>
        </w:rPr>
        <w:t xml:space="preserve">Status key:  OPEN (action initiated)  •  IN PROGRESS (work underway)  •  CLOSED (12-month follow-up complete)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900"/>
        <w:gridCol w:w="1500"/>
        <w:gridCol w:w="1700"/>
        <w:gridCol w:w="1100"/>
        <w:gridCol w:w="1860"/>
      </w:tblGrid>
      <w:tr>
        <w:trPr>
          <w:tblHeader/>
        </w:trPr>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Action</w:t>
            </w:r>
          </w:p>
        </w:tc>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Description</w:t>
            </w:r>
          </w:p>
        </w:tc>
        <w:tc>
          <w:tcPr>
            <w:tcW w:type="dxa" w:w="19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Owner</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LCME Element(s)</w:t>
            </w:r>
          </w:p>
        </w:tc>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Due / Return</w:t>
            </w:r>
          </w:p>
        </w:tc>
        <w:tc>
          <w:tcPr>
            <w:tcW w:type="dxa" w:w="11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Status</w:t>
            </w:r>
          </w:p>
        </w:tc>
        <w:tc>
          <w:tcPr>
            <w:tcW w:type="dxa" w:w="1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Closed-Loop Determination</w:t>
            </w:r>
          </w:p>
        </w:tc>
      </w:tr>
      <w:tr>
        <w:tc>
          <w:tcPr>
            <w:tcW w:type="dxa" w:w="12960"/>
            <w:gridSpan w:val="7"/>
            <w:tcBorders>
              <w:top w:val="single" w:color="BFBFBF" w:sz="4"/>
              <w:left w:val="single" w:color="BFBFBF" w:sz="4"/>
              <w:bottom w:val="single" w:color="BFBFBF" w:sz="4"/>
              <w:right w:val="single" w:color="BFBFBF" w:sz="4"/>
            </w:tcBorders>
            <w:shd w:fill="2E5984" w:val="clear"/>
            <w:tcMar>
              <w:top w:type="dxa" w:w="60"/>
              <w:left w:type="dxa" w:w="120"/>
              <w:bottom w:type="dxa" w:w="60"/>
              <w:right w:type="dxa" w:w="120"/>
            </w:tcMar>
          </w:tcPr>
          <w:p>
            <w:pPr>
              <w:spacing w:after="40" w:before="40" w:line="276"/>
            </w:pPr>
            <w:r>
              <w:rPr>
                <w:rFonts w:ascii="Calibri" w:cs="Calibri" w:eastAsia="Calibri" w:hAnsi="Calibri"/>
                <w:b/>
                <w:bCs/>
                <w:color w:val="FFFFFF"/>
                <w:sz w:val="22"/>
                <w:szCs w:val="22"/>
              </w:rPr>
              <w:t xml:space="preserve">DECEMBER 13, 2024  —  Whole Curriculum Review (Legacy)</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Whole Curriculum Review Report — Distribution and DCI Citation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Finalize and distribute the written Whole Curriculum Review report (Legacy, 4-year) to the EOC. Per Dr. Soriano's confirmation, the report may be shared with the Levy Library team (Dr. K. Alpi). The report will be cited in the LCME Data Collection Instrument (DCI) for the AY 2027–2028 site visit as primary documentation of the AY 2024–2025 Whole Curriculum Review under LCME Element 8.3.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R. Fallar, PhD</w:t>
            </w:r>
          </w:p>
          <w:p>
            <w:pPr>
              <w:spacing w:after="40" w:before="40" w:line="276"/>
            </w:pPr>
            <w:r>
              <w:rPr>
                <w:rFonts w:ascii="Calibri" w:cs="Calibri" w:eastAsia="Calibri" w:hAnsi="Calibri"/>
                <w:color w:val="404040"/>
                <w:sz w:val="22"/>
                <w:szCs w:val="22"/>
              </w:rPr>
              <w:t xml:space="preserve">B. Masi, PhD</w:t>
            </w:r>
          </w:p>
          <w:p>
            <w:pPr>
              <w:spacing w:after="40" w:before="40" w:line="276"/>
            </w:pPr>
            <w:r>
              <w:rPr>
                <w:rFonts w:ascii="Calibri" w:cs="Calibri" w:eastAsia="Calibri" w:hAnsi="Calibri"/>
                <w:color w:val="404040"/>
                <w:sz w:val="22"/>
                <w:szCs w:val="22"/>
              </w:rPr>
              <w:t xml:space="preserve">Office of Curricular Affairs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8.3 / 8.4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Q1 2025; ongoing as DCI input</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Legacy Curriculum Review — Consolidated Action-Plan Tracking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Consolidate the Strategic Action Plan items from this Whole Curriculum Review with the open Appendix A items from the September 20, 2024 (Year 1 / Year 2) and November 15, 2024 (Year 3 / Year 4) phase reviews into a single Legacy-curriculum-review action plan tracked by the Office of Curricular Affairs and the Director of Quality, Compliance, and Accreditation. Distinguish items the EOC will act on within the AY 2024–2025 cycle, items to carry into the first ASCEND phase reviews, and items not pursued (with rationale documented for each).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B. Masi, PhD</w:t>
            </w:r>
          </w:p>
          <w:p>
            <w:pPr>
              <w:spacing w:after="40" w:before="40" w:line="276"/>
            </w:pPr>
            <w:r>
              <w:rPr>
                <w:rFonts w:ascii="Calibri" w:cs="Calibri" w:eastAsia="Calibri" w:hAnsi="Calibri"/>
                <w:color w:val="404040"/>
                <w:sz w:val="22"/>
                <w:szCs w:val="22"/>
              </w:rPr>
              <w:t xml:space="preserve">R. Fallar, PhD</w:t>
            </w:r>
          </w:p>
          <w:p>
            <w:pPr>
              <w:spacing w:after="40" w:before="40" w:line="276"/>
            </w:pPr>
            <w:r>
              <w:rPr>
                <w:rFonts w:ascii="Calibri" w:cs="Calibri" w:eastAsia="Calibri" w:hAnsi="Calibri"/>
                <w:color w:val="404040"/>
                <w:sz w:val="22"/>
                <w:szCs w:val="22"/>
              </w:rPr>
              <w:t xml:space="preserve">Office of Curricular Affairs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8.1 / 8.3 / 8.4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AY 2024–2025; into ASCEND review cycle</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Anti-Oppression MEPO — Expanded Instruction and Assessment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Continue and expand the existing EOC directive on anti-oppression instruction and assessment. Per Strategic Action Plan, anti-oppression should be more broadly integrated across the curriculum to close the identified MEPO gap. Coordinate with the Office of Diversity and Inclusion / CMCA (Dr. Palermo) and the Office of Curricular Affairs.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A. Palermo, DrPH MPH (Office of Diversity / CMCA)</w:t>
            </w:r>
          </w:p>
          <w:p>
            <w:pPr>
              <w:spacing w:after="40" w:before="40" w:line="276"/>
            </w:pPr>
            <w:r>
              <w:rPr>
                <w:rFonts w:ascii="Calibri" w:cs="Calibri" w:eastAsia="Calibri" w:hAnsi="Calibri"/>
                <w:color w:val="404040"/>
                <w:sz w:val="22"/>
                <w:szCs w:val="22"/>
              </w:rPr>
              <w:t xml:space="preserve">Office of Curricular Affairs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7.6 / 6.1 / 8.3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Annual; first surface in ASCEND Phase 1 review</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Underserved Specialty Mentorship — Targeted Career Development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Develop targeted mentorship and exposure for specialties showing sustained match-rate declines over the past five years (EM, urology, radiology). Coordinate with Career and Professional Development advisors and Specialty Advisor leadership. Track impact via Match outcomes over AY 2025–2026 onward.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 Katz, MD (CaPD)</w:t>
            </w:r>
          </w:p>
          <w:p>
            <w:pPr>
              <w:spacing w:after="40" w:before="40" w:line="276"/>
            </w:pPr>
            <w:r>
              <w:rPr>
                <w:rFonts w:ascii="Calibri" w:cs="Calibri" w:eastAsia="Calibri" w:hAnsi="Calibri"/>
                <w:color w:val="404040"/>
                <w:sz w:val="22"/>
                <w:szCs w:val="22"/>
              </w:rPr>
              <w:t xml:space="preserve">V. Simma-Chiang, MD (Specialty Advising)</w:t>
            </w:r>
          </w:p>
          <w:p>
            <w:pPr>
              <w:spacing w:after="40" w:before="40" w:line="276"/>
            </w:pPr>
            <w:r>
              <w:rPr>
                <w:rFonts w:ascii="Calibri" w:cs="Calibri" w:eastAsia="Calibri" w:hAnsi="Calibri"/>
                <w:color w:val="404040"/>
                <w:sz w:val="22"/>
                <w:szCs w:val="22"/>
              </w:rPr>
              <w:t xml:space="preserve">R. Soriano, MD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11.1 / 12.0 / 8.4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Annual; first review at AY 2025–2026 EOC</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MEPO 18 / Professionalism Guidelines Alignment Workstream</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Operationalize alignment between MEPO 18 (Personal and Professional Development — seeking/receiving/acting on/delivering feedback) and the school's emerging professionalism guidelines (chaired by Dr. Katz). Build the assessment infrastructure through the CCM and CaPD architecture in ASCEND so that students can be developmentally assessed against these MEPOs. Drivers: Dr. Alpi's question; Dr. Parkas's amplification.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 Katz, MD</w:t>
            </w:r>
          </w:p>
          <w:p>
            <w:pPr>
              <w:spacing w:after="40" w:before="40" w:line="276"/>
            </w:pPr>
            <w:r>
              <w:rPr>
                <w:rFonts w:ascii="Calibri" w:cs="Calibri" w:eastAsia="Calibri" w:hAnsi="Calibri"/>
                <w:color w:val="404040"/>
                <w:sz w:val="22"/>
                <w:szCs w:val="22"/>
              </w:rPr>
              <w:t xml:space="preserve">T. Holzer, MD</w:t>
            </w:r>
          </w:p>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K. Lassman (CaPD)</w:t>
            </w:r>
          </w:p>
          <w:p>
            <w:pPr>
              <w:spacing w:after="40" w:before="40" w:line="276"/>
            </w:pPr>
            <w:r>
              <w:rPr>
                <w:rFonts w:ascii="Calibri" w:cs="Calibri" w:eastAsia="Calibri" w:hAnsi="Calibri"/>
                <w:color w:val="404040"/>
                <w:sz w:val="22"/>
                <w:szCs w:val="22"/>
              </w:rPr>
              <w:t xml:space="preserve">Professionalism Guidelines Committee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6.1 / 9.4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Workstream design by spring 2025; surface to EOC by end of AY 2024–2025</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Long-Multi-Exam-Course Optimization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Investigate the assessment data trend showing higher failure rates on later exams in long multi-exam courses (potential content-overload / fatigue factor) and develop optimization recommendations for ASCEND module assessment design.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R. Fallar, PhD</w:t>
            </w:r>
          </w:p>
          <w:p>
            <w:pPr>
              <w:spacing w:after="40" w:before="40" w:line="276"/>
            </w:pPr>
            <w:r>
              <w:rPr>
                <w:rFonts w:ascii="Calibri" w:cs="Calibri" w:eastAsia="Calibri" w:hAnsi="Calibri"/>
                <w:color w:val="404040"/>
                <w:sz w:val="22"/>
                <w:szCs w:val="22"/>
              </w:rPr>
              <w:t xml:space="preserve">S. Leisman, MD (PCCS)</w:t>
            </w:r>
          </w:p>
          <w:p>
            <w:pPr>
              <w:spacing w:after="40" w:before="40" w:line="276"/>
            </w:pPr>
            <w:r>
              <w:rPr>
                <w:rFonts w:ascii="Calibri" w:cs="Calibri" w:eastAsia="Calibri" w:hAnsi="Calibri"/>
                <w:color w:val="404040"/>
                <w:sz w:val="22"/>
                <w:szCs w:val="22"/>
              </w:rPr>
              <w:t xml:space="preserve">Module Directors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9.4 / 8.3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First ASCEND Phase 1 module review</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bl>
    <w:sectPr>
      <w:headerReference w:type="default" r:id="rId9"/>
      <w:footerReference w:type="default" r:id="rId10"/>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December 13, 2024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December 13,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of Curricular Affairs, ISMMS</dc:creator>
  <cp:lastModifiedBy>Un-named</cp:lastModifiedBy>
  <cp:revision>1</cp:revision>
  <dcterms:created xsi:type="dcterms:W3CDTF">2026-05-25T14:59:07.180Z</dcterms:created>
  <dcterms:modified xsi:type="dcterms:W3CDTF">2026-05-25T14:59:07.180Z</dcterms:modified>
</cp:coreProperties>
</file>

<file path=docProps/custom.xml><?xml version="1.0" encoding="utf-8"?>
<Properties xmlns="http://schemas.openxmlformats.org/officeDocument/2006/custom-properties" xmlns:vt="http://schemas.openxmlformats.org/officeDocument/2006/docPropsVTypes"/>
</file>