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January 10, 2025</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January 10, 2025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1:00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Michelle Francis, MD — Chair, Executive Oversight Committee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Confirmed at call to order (see Section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(GMT20250110-165401);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(10)</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Heading2"/>
        <w:spacing w:after="120" w:before="240"/>
      </w:pPr>
      <w:r>
        <w:rPr>
          <w:rFonts w:ascii="Calibri" w:cs="Calibri" w:eastAsia="Calibri" w:hAnsi="Calibri"/>
          <w:b/>
          <w:bCs/>
          <w:color w:val="2E5984"/>
          <w:sz w:val="26"/>
          <w:szCs w:val="26"/>
        </w:rPr>
        <w:t xml:space="preserve">Voting Members Absent (21)</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Avnish Deobhakta, MD — Faculty Educator at Large; Ophthalmology (seated July 26, 2024; left January 2025)</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Valerie Parkas, MD — Ex Officio; Sr. Associate Dean for Admissions &amp; Recruitment; Interim Sr. Associate Dean for Student Affairs</w:t>
      </w:r>
    </w:p>
    <w:p>
      <w:pPr>
        <w:pStyle w:val="ListParagraph"/>
        <w:numPr>
          <w:ilvl w:val="0"/>
          <w:numId w:val="2"/>
        </w:numPr>
        <w:spacing w:after="40" w:before="0" w:line="276"/>
      </w:pPr>
      <w:r>
        <w:rPr>
          <w:rFonts w:ascii="Calibri" w:cs="Calibri" w:eastAsia="Calibri" w:hAnsi="Calibri"/>
          <w:color w:val="404040"/>
          <w:sz w:val="22"/>
          <w:szCs w:val="22"/>
        </w:rPr>
        <w:t xml:space="preserve">Jacquelyn Chudow — Guest presenter; Assistant Director of Admissions; Early Assurance lead (invited when admissions items are on the agenda)</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chaired by Dr. Michelle Francis. The Chair opened the meeting with the new-year greeting and noted a relatively short agenda. Dr. David C. Thomas joined slightly after the call to order; the order of presentations was adjusted accordingly (Drs. Parkas and Chudow presented before Dr. Thomas). The Chair welcomed Mr. Alan Zhang, the new M1 ASCEND-cohort student representative — the first ASCEND-curriculum student to serve on the EOC.</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The Chair confirmed quorum on the record at the call to order. The specific voting-member count was not enumerated in the transcript.</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approval of the prior EOC meeting minutes; introduction of the new M1 ASCEND-cohort student representative (Mr. Alan Zhang); a voting item presenting an update to the Pre-Medical Requirements (Drs. Valerie Parkas and Jacquelyn Chudow); and an informational presentation of the annual Mistreatment Data report (Dr. David C. Thomas). The Chair confirmed the agenda as circulated; no agenda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Chair presented the minutes from the prior EOC meeting (December 13, 2024) for approval. The Chair invited objections, corrections, or comments; none were raised. Per the committee's established practice, the minutes were treated as approved by unanimous consent in the absence of objection.</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December 13, 2024 EOC meeting were approved by unanimous consent.</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Toward the close of the meeting, the Chair invited the subcommittee chairs (CCS — Dr. Teddy Holzer; PCCS — Dr. Staci Leisman) and the Office of Assessment and Evaluation (Dr. Robert Fallar) to report out. Each indicated they had no material updates to report at this meeting. No formal subcommittee reports were received.</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The annual Mistreatment Data report presented at this meeting (Item 6.4) responds to the October 18, 2024 EOC Appendix A item committing Dr. Thomas to bringing the real-time mistreatment data to the EOC; that item is closed by this presentation. Consolidated tracking of action items from the AY 2024–2025 Legacy curriculum reviews continues per the December 13, 2024 EOC Appendix A.</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December 13, 2024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December 13, 2024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Chair on the standing agenda.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Chair invited objections; none were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December 13, 2024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Introduction of Mr. Alan Zhang — New M1 ASCEND-Cohort Student Representative</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8.1 — Curricular Management</w:t>
      </w:r>
    </w:p>
    <w:p>
      <w:pPr>
        <w:pStyle w:val="Heading3"/>
        <w:spacing w:after="80" w:before="180"/>
      </w:pPr>
      <w:r>
        <w:rPr>
          <w:rFonts w:ascii="Calibri" w:cs="Calibri" w:eastAsia="Calibri" w:hAnsi="Calibri"/>
          <w:b/>
          <w:bCs/>
          <w:i/>
          <w:iCs/>
          <w:color w:val="404040"/>
          <w:sz w:val="22"/>
          <w:szCs w:val="22"/>
        </w:rPr>
        <w:t xml:space="preserve">Introduction</w:t>
      </w:r>
    </w:p>
    <w:p>
      <w:pPr>
        <w:spacing w:after="120" w:before="0" w:line="276"/>
      </w:pPr>
      <w:r>
        <w:rPr>
          <w:rFonts w:ascii="Calibri" w:cs="Calibri" w:eastAsia="Calibri" w:hAnsi="Calibri"/>
          <w:color w:val="404040"/>
          <w:sz w:val="22"/>
          <w:szCs w:val="22"/>
        </w:rPr>
        <w:t xml:space="preserve">The Chair introduced and welcomed Mr. Alan Zhang as the new M1 ASCEND-cohort student representative on the EOC — the first student from the ASCEND curriculum to serve in this voting capacity. The Chair encouraged Mr. Zhang to engage actively in committee deliberations, noting that student insight is valuable to the committee's work, and offered direct contact for off-line questions between meetings.</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Mr. Alan Zhang is seated as M1 ASCEND-cohort student representative on the EOC, effective at this meeting.</w:t>
      </w:r>
    </w:p>
    <w:p>
      <w:pPr>
        <w:pStyle w:val="Heading2"/>
        <w:spacing w:after="120" w:before="280"/>
      </w:pPr>
      <w:r>
        <w:rPr>
          <w:rFonts w:ascii="Calibri" w:cs="Calibri" w:eastAsia="Calibri" w:hAnsi="Calibri"/>
          <w:b/>
          <w:bCs/>
          <w:color w:val="2E5984"/>
          <w:sz w:val="26"/>
          <w:szCs w:val="26"/>
        </w:rPr>
        <w:t xml:space="preserve">6.3  Pre-Medical Requirements — Update to FlexMed / Early Assurance Pre-Matriculation Requirements</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Valerie Parkas, MD (Interim Sr. Associate Dean for Student Affairs; Sr. Associate Dean for Admissions and Recruitment); Jacquelyn Chudow (Assistant Director of Admissions; Early Assurance lead)</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10.1 — Premedical Education / Required Coursework (focus); 7.0 — Curricular Content (alignment with assumed-knowledge baseline); 1.1 — Strategic Planning and CQI</w:t>
      </w:r>
    </w:p>
    <w:p>
      <w:pPr>
        <w:pStyle w:val="Heading3"/>
        <w:spacing w:after="80" w:before="180"/>
      </w:pPr>
      <w:r>
        <w:rPr>
          <w:rFonts w:ascii="Calibri" w:cs="Calibri" w:eastAsia="Calibri" w:hAnsi="Calibri"/>
          <w:b/>
          <w:bCs/>
          <w:i/>
          <w:iCs/>
          <w:color w:val="404040"/>
          <w:sz w:val="22"/>
          <w:szCs w:val="22"/>
        </w:rPr>
        <w:t xml:space="preserve">Framing — LCME Element 10.1 and Annual Review Cadence</w:t>
      </w:r>
    </w:p>
    <w:p>
      <w:pPr>
        <w:spacing w:after="120" w:before="0" w:line="276"/>
      </w:pPr>
      <w:r>
        <w:rPr>
          <w:rFonts w:ascii="Calibri" w:cs="Calibri" w:eastAsia="Calibri" w:hAnsi="Calibri"/>
          <w:color w:val="404040"/>
          <w:sz w:val="22"/>
          <w:szCs w:val="22"/>
        </w:rPr>
        <w:t xml:space="preserve">Dr. Valerie Parkas opened the agenda item by acknowledging the leadership of Ms. Jacquelyn Chudow (Assistant Director of Admissions) in spearheading the school's work on pre-medical requirements and on accreditation readiness in the admissions space, including the AY 2023–2024 LCME admissions review. Dr. Parkas framed the item against LCME Standard 10 Element 10.1, which expects that a medical school's premedical course requirements support student preparation for the rigors of medical school through foundational science coursework and a broad undergraduate education.</w:t>
      </w:r>
    </w:p>
    <w:p>
      <w:pPr>
        <w:spacing w:after="120" w:before="0" w:line="276"/>
      </w:pPr>
      <w:r>
        <w:rPr>
          <w:rFonts w:ascii="Calibri" w:cs="Calibri" w:eastAsia="Calibri" w:hAnsi="Calibri"/>
          <w:color w:val="404040"/>
          <w:sz w:val="22"/>
          <w:szCs w:val="22"/>
        </w:rPr>
        <w:t xml:space="preserve">Dr. Parkas described the </w:t>
      </w:r>
      <w:r>
        <w:rPr>
          <w:rFonts w:ascii="Calibri" w:cs="Calibri" w:eastAsia="Calibri" w:hAnsi="Calibri"/>
          <w:b/>
          <w:bCs/>
          <w:color w:val="404040"/>
          <w:sz w:val="22"/>
          <w:szCs w:val="22"/>
        </w:rPr>
        <w:t xml:space="preserve">Pre-Medical Requirements Working Group</w:t>
      </w:r>
      <w:r>
        <w:rPr>
          <w:rFonts w:ascii="Calibri" w:cs="Calibri" w:eastAsia="Calibri" w:hAnsi="Calibri"/>
          <w:color w:val="404040"/>
          <w:sz w:val="22"/>
          <w:szCs w:val="22"/>
        </w:rPr>
        <w:t xml:space="preserve"> as a multi-disciplinary group that has met annually since 2016. Membership includes faculty course directors (basic science and clinical), the Office of Curricular Affairs, the Office of Student Affairs, and student representatives drawn from a deliberately varied undergraduate-institution sample. The working group reviews the AAMC database of pre-medical requirements, peer-institution requirements, and ISMMS-internal student-outcomes data each year.</w:t>
      </w:r>
    </w:p>
    <w:p>
      <w:pPr>
        <w:spacing w:after="120" w:before="0" w:line="276"/>
      </w:pPr>
      <w:r>
        <w:rPr>
          <w:rFonts w:ascii="Calibri" w:cs="Calibri" w:eastAsia="Calibri" w:hAnsi="Calibri"/>
          <w:color w:val="404040"/>
          <w:sz w:val="22"/>
          <w:szCs w:val="22"/>
        </w:rPr>
        <w:t xml:space="preserve">The recommendations brought to the EOC at this meeting were developed by the Pre-Medical Requirements Working Group, refined by the Selection Subcommittee of the Admissions Committee, and routed to the EOC for approval. </w:t>
      </w:r>
      <w:r>
        <w:rPr>
          <w:rFonts w:ascii="Calibri" w:cs="Calibri" w:eastAsia="Calibri" w:hAnsi="Calibri"/>
          <w:b/>
          <w:bCs/>
          <w:color w:val="404040"/>
          <w:sz w:val="22"/>
          <w:szCs w:val="22"/>
        </w:rPr>
        <w:t xml:space="preserve">The pre-medical course requirements themselves are unchanged at this cycle.</w:t>
      </w:r>
      <w:r>
        <w:rPr>
          <w:rFonts w:ascii="Calibri" w:cs="Calibri" w:eastAsia="Calibri" w:hAnsi="Calibri"/>
          <w:color w:val="404040"/>
          <w:sz w:val="22"/>
          <w:szCs w:val="22"/>
        </w:rPr>
        <w:t xml:space="preserve"> The vote concerns updates to the pre-matriculation requirements for students entering through the FlexMed (Early Assurance) program.</w:t>
      </w:r>
    </w:p>
    <w:p>
      <w:pPr>
        <w:pStyle w:val="Heading3"/>
        <w:spacing w:after="80" w:before="180"/>
      </w:pPr>
      <w:r>
        <w:rPr>
          <w:rFonts w:ascii="Calibri" w:cs="Calibri" w:eastAsia="Calibri" w:hAnsi="Calibri"/>
          <w:b/>
          <w:bCs/>
          <w:i/>
          <w:iCs/>
          <w:color w:val="404040"/>
          <w:sz w:val="22"/>
          <w:szCs w:val="22"/>
        </w:rPr>
        <w:t xml:space="preserve">Proposed Updates to FlexMed / Early Assurance Pre-Matriculation Requirements</w:t>
      </w:r>
    </w:p>
    <w:p>
      <w:pPr>
        <w:spacing w:after="120" w:before="0" w:line="276"/>
      </w:pPr>
      <w:r>
        <w:rPr>
          <w:rFonts w:ascii="Calibri" w:cs="Calibri" w:eastAsia="Calibri" w:hAnsi="Calibri"/>
          <w:color w:val="404040"/>
          <w:sz w:val="22"/>
          <w:szCs w:val="22"/>
        </w:rPr>
        <w:t xml:space="preserve">Ms. Chudow presented the proposed updates to the FlexMed / Early Assurance pre-matriculation requirements:</w:t>
      </w:r>
    </w:p>
    <w:p>
      <w:pPr>
        <w:pStyle w:val="ListParagraph"/>
        <w:numPr>
          <w:ilvl w:val="0"/>
          <w:numId w:val="2"/>
        </w:numPr>
        <w:spacing w:after="60" w:before="0" w:line="276"/>
      </w:pPr>
      <w:r>
        <w:rPr>
          <w:rFonts w:ascii="Calibri" w:cs="Calibri" w:eastAsia="Calibri" w:hAnsi="Calibri"/>
          <w:b/>
          <w:bCs/>
          <w:color w:val="404040"/>
          <w:sz w:val="22"/>
          <w:szCs w:val="22"/>
        </w:rPr>
        <w:t xml:space="preserve">Annualized GPA standard.</w:t>
      </w:r>
      <w:r>
        <w:rPr>
          <w:rFonts w:ascii="Calibri" w:cs="Calibri" w:eastAsia="Calibri" w:hAnsi="Calibri"/>
          <w:color w:val="404040"/>
          <w:sz w:val="22"/>
          <w:szCs w:val="22"/>
        </w:rPr>
        <w:t xml:space="preserve"> The existing 3.5 cumulative GPA standard is restated as an annualized 3.5/year requirement (i.e., students must maintain 3.5 each year, not only over the cumulative undergraduate record).</w:t>
      </w:r>
    </w:p>
    <w:p>
      <w:pPr>
        <w:pStyle w:val="ListParagraph"/>
        <w:numPr>
          <w:ilvl w:val="0"/>
          <w:numId w:val="2"/>
        </w:numPr>
        <w:spacing w:after="60" w:before="0" w:line="276"/>
      </w:pPr>
      <w:r>
        <w:rPr>
          <w:rFonts w:ascii="Calibri" w:cs="Calibri" w:eastAsia="Calibri" w:hAnsi="Calibri"/>
          <w:b/>
          <w:bCs/>
          <w:color w:val="404040"/>
          <w:sz w:val="22"/>
          <w:szCs w:val="22"/>
        </w:rPr>
        <w:t xml:space="preserve">Science GPA threshold added.</w:t>
      </w:r>
      <w:r>
        <w:rPr>
          <w:rFonts w:ascii="Calibri" w:cs="Calibri" w:eastAsia="Calibri" w:hAnsi="Calibri"/>
          <w:color w:val="404040"/>
          <w:sz w:val="22"/>
          <w:szCs w:val="22"/>
        </w:rPr>
        <w:t xml:space="preserve"> A new science GPA requirement of 3.6 is added as a separate threshold alongside the annualized 3.5 overall GPA.</w:t>
      </w:r>
    </w:p>
    <w:p>
      <w:pPr>
        <w:spacing w:after="120" w:before="0" w:line="276"/>
      </w:pPr>
      <w:r>
        <w:rPr>
          <w:rFonts w:ascii="Calibri" w:cs="Calibri" w:eastAsia="Calibri" w:hAnsi="Calibri"/>
          <w:color w:val="404040"/>
          <w:sz w:val="22"/>
          <w:szCs w:val="22"/>
        </w:rPr>
        <w:t xml:space="preserve">Drs. Parkas and Chudow noted that the change responds to internal student-outcomes review and to consistency considerations with peer institutions; the goal is to maintain the protective intent of the prior cumulative threshold while preventing edge cases in which a student with a strong early academic record drops below the 3.5 threshold late in the undergraduate trajectory without triggering school-side review.</w:t>
      </w:r>
    </w:p>
    <w:p>
      <w:pPr>
        <w:pStyle w:val="Heading3"/>
        <w:spacing w:after="80" w:before="180"/>
      </w:pPr>
      <w:r>
        <w:rPr>
          <w:rFonts w:ascii="Calibri" w:cs="Calibri" w:eastAsia="Calibri" w:hAnsi="Calibri"/>
          <w:b/>
          <w:bCs/>
          <w:i/>
          <w:iCs/>
          <w:color w:val="404040"/>
          <w:sz w:val="22"/>
          <w:szCs w:val="22"/>
        </w:rPr>
        <w:t xml:space="preserve">Member Discussion</w:t>
      </w:r>
    </w:p>
    <w:p>
      <w:pPr>
        <w:spacing w:after="120" w:before="0" w:line="276"/>
      </w:pPr>
      <w:r>
        <w:rPr>
          <w:rFonts w:ascii="Calibri" w:cs="Calibri" w:eastAsia="Calibri" w:hAnsi="Calibri"/>
          <w:color w:val="404040"/>
          <w:sz w:val="22"/>
          <w:szCs w:val="22"/>
        </w:rPr>
        <w:t xml:space="preserve">The Chair invited committee discussion. No substantive concerns were raised; clarifying discussion centered on the operational pathway for monitoring annualized GPA and on coordination with FlexMed/Early Assurance partner undergraduate institutions. The Chair then called for a vote, briefly moving to the next item before observing that hands remained up; Dr. Parkas ("Hands up!"), Dr. Holzer ("I think those were voters"), and Dr. Fallar ("Those were voters") confirmed the vote was in progress. The Chair recorded the show-of-hands vote on the record.</w:t>
      </w:r>
    </w:p>
    <w:p>
      <w:pPr>
        <w:pStyle w:val="Heading3"/>
        <w:spacing w:after="80" w:before="180"/>
      </w:pPr>
      <w:r>
        <w:rPr>
          <w:rFonts w:ascii="Calibri" w:cs="Calibri" w:eastAsia="Calibri" w:hAnsi="Calibri"/>
          <w:b/>
          <w:bCs/>
          <w:i/>
          <w:iCs/>
          <w:color w:val="404040"/>
          <w:sz w:val="22"/>
          <w:szCs w:val="22"/>
        </w:rPr>
        <w:t xml:space="preserve">Vote — Pre-Medical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updates to the FlexMed / Early Assurance pre-matriculation requirements: (i) restating the cumulative 3.5 GPA standard as an annualized 3.5/year requirement, and (ii) adding a science GPA threshold of 3.6. The pre-medical course requirements themselves are unchanged.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Motion put by the Chair following discussion.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show of hands. The Chair confirmed approval after Drs. Parkas, Holzer, and Fallar prompted attention to raised hands during the count. Specific final tally was not enumerated in the transcript.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 opposition was raised when the Chair invited dissent.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Updates to FlexMed / Early Assurance pre-matriculation requirements approved by show of hands.</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w:t>
      </w:r>
      <w:r>
        <w:rPr>
          <w:rFonts w:ascii="Calibri" w:cs="Calibri" w:eastAsia="Calibri" w:hAnsi="Calibri"/>
          <w:color w:val="404040"/>
          <w:sz w:val="22"/>
          <w:szCs w:val="22"/>
        </w:rPr>
        <w:t xml:space="preserve"> Effective AY 2025–2026 admissions cycle. The Office of Admissions, in coordination with FlexMed / Early Assurance partner undergraduate institutions, will operationalize the annualized 3.5 GPA and science GPA 3.6 thresholds and surface monitoring data to the EOC at the next pre-medical requirements annual review.</w:t>
      </w:r>
    </w:p>
    <w:p>
      <w:pPr>
        <w:pStyle w:val="Heading2"/>
        <w:spacing w:after="120" w:before="280"/>
      </w:pPr>
      <w:r>
        <w:rPr>
          <w:rFonts w:ascii="Calibri" w:cs="Calibri" w:eastAsia="Calibri" w:hAnsi="Calibri"/>
          <w:b/>
          <w:bCs/>
          <w:color w:val="2E5984"/>
          <w:sz w:val="26"/>
          <w:szCs w:val="26"/>
        </w:rPr>
        <w:t xml:space="preserve">6.4  Annual Mistreatment Data Report — October 1, 2023 to October 1, 2024</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David C. Thomas, MD MHPE (Dean for Medical Education); Michael Leitman, MD (GME interface, supporting commentary)</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3.5 — Learning Environment / Professionalism (focus); 3.6 — Student Mistreatment; 8.4 — Program Evaluation</w:t>
      </w:r>
    </w:p>
    <w:p>
      <w:pPr>
        <w:pStyle w:val="Heading3"/>
        <w:spacing w:after="80" w:before="180"/>
      </w:pPr>
      <w:r>
        <w:rPr>
          <w:rFonts w:ascii="Calibri" w:cs="Calibri" w:eastAsia="Calibri" w:hAnsi="Calibri"/>
          <w:b/>
          <w:bCs/>
          <w:i/>
          <w:iCs/>
          <w:color w:val="404040"/>
          <w:sz w:val="22"/>
          <w:szCs w:val="22"/>
        </w:rPr>
        <w:t xml:space="preserve">Framing — Reporting Window and Process</w:t>
      </w:r>
    </w:p>
    <w:p>
      <w:pPr>
        <w:spacing w:after="120" w:before="0" w:line="276"/>
      </w:pPr>
      <w:r>
        <w:rPr>
          <w:rFonts w:ascii="Calibri" w:cs="Calibri" w:eastAsia="Calibri" w:hAnsi="Calibri"/>
          <w:color w:val="404040"/>
          <w:sz w:val="22"/>
          <w:szCs w:val="22"/>
        </w:rPr>
        <w:t xml:space="preserve">Dr. David C. Thomas presented the annual Mistreatment Data report covering the reporting window October 1, 2023 to October 1, 2024. The non-calendar-year window was chosen to align with Dr. Thomas's transition into the Dean for Medical Education role and to catch up after a reporting gap. Going forward, the window will be normalized.</w:t>
      </w:r>
    </w:p>
    <w:p>
      <w:pPr>
        <w:spacing w:after="120" w:before="0" w:line="276"/>
      </w:pPr>
      <w:r>
        <w:rPr>
          <w:rFonts w:ascii="Calibri" w:cs="Calibri" w:eastAsia="Calibri" w:hAnsi="Calibri"/>
          <w:color w:val="404040"/>
          <w:sz w:val="22"/>
          <w:szCs w:val="22"/>
        </w:rPr>
        <w:t xml:space="preserve">Reports captured in the data come from students (and others) into the institutional reporting system. All educational reports route to both Dr. Thomas and to Dr. Michael Leitman (referenced in the transcript and in this attribution as 'Dr. Lightman' via Zoom auto-caption, confirmed as Dr. Michael Leitman). Mistreatment reports are reviewed by the COFFEE program (Committee on Professionalism in Healthcare). Depending on severity, Dr. Thomas is convened to a COFFEE meeting where the next steps for each report are determined.</w:t>
      </w:r>
    </w:p>
    <w:p>
      <w:pPr>
        <w:pStyle w:val="Heading3"/>
        <w:spacing w:after="80" w:before="180"/>
      </w:pPr>
      <w:r>
        <w:rPr>
          <w:rFonts w:ascii="Calibri" w:cs="Calibri" w:eastAsia="Calibri" w:hAnsi="Calibri"/>
          <w:b/>
          <w:bCs/>
          <w:i/>
          <w:iCs/>
          <w:color w:val="404040"/>
          <w:sz w:val="22"/>
          <w:szCs w:val="22"/>
        </w:rPr>
        <w:t xml:space="preserve">Reporting Window Data — 26 Mistreatment + 3 Positive Reports</w:t>
      </w:r>
    </w:p>
    <w:p>
      <w:pPr>
        <w:spacing w:after="120" w:before="0" w:line="276"/>
      </w:pPr>
      <w:r>
        <w:rPr>
          <w:rFonts w:ascii="Calibri" w:cs="Calibri" w:eastAsia="Calibri" w:hAnsi="Calibri"/>
          <w:b/>
          <w:bCs/>
          <w:color w:val="404040"/>
          <w:sz w:val="22"/>
          <w:szCs w:val="22"/>
        </w:rPr>
        <w:t xml:space="preserve">Mistreatment reports (26 total) by category</w:t>
      </w:r>
      <w:r>
        <w:rPr>
          <w:rFonts w:ascii="Calibri" w:cs="Calibri" w:eastAsia="Calibri" w:hAnsi="Calibri"/>
          <w:color w:val="404040"/>
          <w:sz w:val="22"/>
          <w:szCs w:val="22"/>
        </w:rPr>
        <w:t xml:space="preserve"> (multi-category in some instances):</w:t>
      </w:r>
    </w:p>
    <w:p>
      <w:pPr>
        <w:pStyle w:val="ListParagraph"/>
        <w:numPr>
          <w:ilvl w:val="0"/>
          <w:numId w:val="2"/>
        </w:numPr>
        <w:spacing w:after="60" w:before="0" w:line="276"/>
      </w:pPr>
      <w:r>
        <w:rPr>
          <w:rFonts w:ascii="Calibri" w:cs="Calibri" w:eastAsia="Calibri" w:hAnsi="Calibri"/>
          <w:color w:val="404040"/>
          <w:sz w:val="22"/>
          <w:szCs w:val="22"/>
        </w:rPr>
        <w:t xml:space="preserve">Publicly embarrassed/humiliated — 18 reports.</w:t>
      </w:r>
    </w:p>
    <w:p>
      <w:pPr>
        <w:pStyle w:val="ListParagraph"/>
        <w:numPr>
          <w:ilvl w:val="0"/>
          <w:numId w:val="2"/>
        </w:numPr>
        <w:spacing w:after="60" w:before="0" w:line="276"/>
      </w:pPr>
      <w:r>
        <w:rPr>
          <w:rFonts w:ascii="Calibri" w:cs="Calibri" w:eastAsia="Calibri" w:hAnsi="Calibri"/>
          <w:color w:val="404040"/>
          <w:sz w:val="22"/>
          <w:szCs w:val="22"/>
        </w:rPr>
        <w:t xml:space="preserve">Subjected to offensive remarks — 9 reports across multiple sub-categories.</w:t>
      </w:r>
    </w:p>
    <w:p>
      <w:pPr>
        <w:pStyle w:val="ListParagraph"/>
        <w:numPr>
          <w:ilvl w:val="0"/>
          <w:numId w:val="2"/>
        </w:numPr>
        <w:spacing w:after="60" w:before="0" w:line="276"/>
      </w:pPr>
      <w:r>
        <w:rPr>
          <w:rFonts w:ascii="Calibri" w:cs="Calibri" w:eastAsia="Calibri" w:hAnsi="Calibri"/>
          <w:color w:val="404040"/>
          <w:sz w:val="22"/>
          <w:szCs w:val="22"/>
        </w:rPr>
        <w:t xml:space="preserve">Unidentified — 3 reports.</w:t>
      </w:r>
    </w:p>
    <w:p>
      <w:pPr>
        <w:pStyle w:val="ListParagraph"/>
        <w:numPr>
          <w:ilvl w:val="0"/>
          <w:numId w:val="2"/>
        </w:numPr>
        <w:spacing w:after="60" w:before="0" w:line="276"/>
      </w:pPr>
      <w:r>
        <w:rPr>
          <w:rFonts w:ascii="Calibri" w:cs="Calibri" w:eastAsia="Calibri" w:hAnsi="Calibri"/>
          <w:color w:val="404040"/>
          <w:sz w:val="22"/>
          <w:szCs w:val="22"/>
        </w:rPr>
        <w:t xml:space="preserve">Threatened with physical harm or physically harmed — 3 reports.</w:t>
      </w:r>
    </w:p>
    <w:p>
      <w:pPr>
        <w:pStyle w:val="ListParagraph"/>
        <w:numPr>
          <w:ilvl w:val="0"/>
          <w:numId w:val="2"/>
        </w:numPr>
        <w:spacing w:after="60" w:before="0" w:line="276"/>
      </w:pPr>
      <w:r>
        <w:rPr>
          <w:rFonts w:ascii="Calibri" w:cs="Calibri" w:eastAsia="Calibri" w:hAnsi="Calibri"/>
          <w:color w:val="404040"/>
          <w:sz w:val="22"/>
          <w:szCs w:val="22"/>
        </w:rPr>
        <w:t xml:space="preserve">Subjected to unwanted sexual advances — 1 report.</w:t>
      </w:r>
    </w:p>
    <w:p>
      <w:pPr>
        <w:pStyle w:val="ListParagraph"/>
        <w:numPr>
          <w:ilvl w:val="0"/>
          <w:numId w:val="2"/>
        </w:numPr>
        <w:spacing w:after="60" w:before="0" w:line="276"/>
      </w:pPr>
      <w:r>
        <w:rPr>
          <w:rFonts w:ascii="Calibri" w:cs="Calibri" w:eastAsia="Calibri" w:hAnsi="Calibri"/>
          <w:color w:val="404040"/>
          <w:sz w:val="22"/>
          <w:szCs w:val="22"/>
        </w:rPr>
        <w:t xml:space="preserve">Required to perform personal services — 1 report.</w:t>
      </w:r>
    </w:p>
    <w:p>
      <w:pPr>
        <w:spacing w:after="120" w:before="0" w:line="276"/>
      </w:pPr>
      <w:r>
        <w:rPr>
          <w:rFonts w:ascii="Calibri" w:cs="Calibri" w:eastAsia="Calibri" w:hAnsi="Calibri"/>
          <w:b/>
          <w:bCs/>
          <w:color w:val="404040"/>
          <w:sz w:val="22"/>
          <w:szCs w:val="22"/>
        </w:rPr>
        <w:t xml:space="preserve">Positive reports (3 total)</w:t>
      </w:r>
      <w:r>
        <w:rPr>
          <w:rFonts w:ascii="Calibri" w:cs="Calibri" w:eastAsia="Calibri" w:hAnsi="Calibri"/>
          <w:color w:val="404040"/>
          <w:sz w:val="22"/>
          <w:szCs w:val="22"/>
        </w:rPr>
        <w:t xml:space="preserve">: dignity and respect treatment; environment valuing DEI; exemplary collaboration; outstanding mentor (sub-categories in single digits and not separately tabulated).</w:t>
      </w:r>
    </w:p>
    <w:p>
      <w:pPr>
        <w:pStyle w:val="Heading3"/>
        <w:spacing w:after="80" w:before="180"/>
      </w:pPr>
      <w:r>
        <w:rPr>
          <w:rFonts w:ascii="Calibri" w:cs="Calibri" w:eastAsia="Calibri" w:hAnsi="Calibri"/>
          <w:b/>
          <w:bCs/>
          <w:i/>
          <w:iCs/>
          <w:color w:val="404040"/>
          <w:sz w:val="22"/>
          <w:szCs w:val="22"/>
        </w:rPr>
        <w:t xml:space="preserve">Escalation Pathway — Six Most Serious Reports</w:t>
      </w:r>
    </w:p>
    <w:p>
      <w:pPr>
        <w:spacing w:after="120" w:before="0" w:line="276"/>
      </w:pPr>
      <w:r>
        <w:rPr>
          <w:rFonts w:ascii="Calibri" w:cs="Calibri" w:eastAsia="Calibri" w:hAnsi="Calibri"/>
          <w:color w:val="404040"/>
          <w:sz w:val="22"/>
          <w:szCs w:val="22"/>
        </w:rPr>
        <w:t xml:space="preserve">Six of the 26 mistreatment reports required Dr. Thomas to attend a COFFEE meeting for next-steps determination:</w:t>
      </w:r>
    </w:p>
    <w:p>
      <w:pPr>
        <w:pStyle w:val="ListParagraph"/>
        <w:numPr>
          <w:ilvl w:val="0"/>
          <w:numId w:val="2"/>
        </w:numPr>
        <w:spacing w:after="60" w:before="0" w:line="276"/>
      </w:pPr>
      <w:r>
        <w:rPr>
          <w:rFonts w:ascii="Calibri" w:cs="Calibri" w:eastAsia="Calibri" w:hAnsi="Calibri"/>
          <w:b/>
          <w:bCs/>
          <w:color w:val="404040"/>
          <w:sz w:val="22"/>
          <w:szCs w:val="22"/>
        </w:rPr>
        <w:t xml:space="preserve">1 report</w:t>
      </w:r>
      <w:r>
        <w:rPr>
          <w:rFonts w:ascii="Calibri" w:cs="Calibri" w:eastAsia="Calibri" w:hAnsi="Calibri"/>
          <w:color w:val="404040"/>
          <w:sz w:val="22"/>
          <w:szCs w:val="22"/>
        </w:rPr>
        <w:t xml:space="preserve"> escalated to the Title IX coordinator (Ms. Rebecca Anderson, social worker and Title IX-trained).</w:t>
      </w:r>
    </w:p>
    <w:p>
      <w:pPr>
        <w:pStyle w:val="ListParagraph"/>
        <w:numPr>
          <w:ilvl w:val="0"/>
          <w:numId w:val="2"/>
        </w:numPr>
        <w:spacing w:after="60" w:before="0" w:line="276"/>
      </w:pPr>
      <w:r>
        <w:rPr>
          <w:rFonts w:ascii="Calibri" w:cs="Calibri" w:eastAsia="Calibri" w:hAnsi="Calibri"/>
          <w:b/>
          <w:bCs/>
          <w:color w:val="404040"/>
          <w:sz w:val="22"/>
          <w:szCs w:val="22"/>
        </w:rPr>
        <w:t xml:space="preserve">3 reports</w:t>
      </w:r>
      <w:r>
        <w:rPr>
          <w:rFonts w:ascii="Calibri" w:cs="Calibri" w:eastAsia="Calibri" w:hAnsi="Calibri"/>
          <w:color w:val="404040"/>
          <w:sz w:val="22"/>
          <w:szCs w:val="22"/>
        </w:rPr>
        <w:t xml:space="preserve"> escalated to the Social Media Committee — a health-system-wide committee chaired by the Senior Vice President for Medical Affairs, with HR, Labor Relations, and social-work representation.</w:t>
      </w:r>
    </w:p>
    <w:p>
      <w:pPr>
        <w:pStyle w:val="ListParagraph"/>
        <w:numPr>
          <w:ilvl w:val="0"/>
          <w:numId w:val="2"/>
        </w:numPr>
        <w:spacing w:after="60" w:before="0" w:line="276"/>
      </w:pPr>
      <w:r>
        <w:rPr>
          <w:rFonts w:ascii="Calibri" w:cs="Calibri" w:eastAsia="Calibri" w:hAnsi="Calibri"/>
          <w:b/>
          <w:bCs/>
          <w:color w:val="404040"/>
          <w:sz w:val="22"/>
          <w:szCs w:val="22"/>
        </w:rPr>
        <w:t xml:space="preserve">2 reports</w:t>
      </w:r>
      <w:r>
        <w:rPr>
          <w:rFonts w:ascii="Calibri" w:cs="Calibri" w:eastAsia="Calibri" w:hAnsi="Calibri"/>
          <w:color w:val="404040"/>
          <w:sz w:val="22"/>
          <w:szCs w:val="22"/>
        </w:rPr>
        <w:t xml:space="preserve"> required additional investigation and intervention (both anonymous, complicating follow-up).</w:t>
      </w:r>
    </w:p>
    <w:p>
      <w:pPr>
        <w:spacing w:after="120" w:before="0" w:line="276"/>
      </w:pPr>
      <w:r>
        <w:rPr>
          <w:rFonts w:ascii="Calibri" w:cs="Calibri" w:eastAsia="Calibri" w:hAnsi="Calibri"/>
          <w:color w:val="404040"/>
          <w:sz w:val="22"/>
          <w:szCs w:val="22"/>
        </w:rPr>
        <w:t xml:space="preserve">The COFFEE committee composition for the senior-level review includes the Title IX coordinator, an HR/labor-relations representative, a senior physician overseeing institutional professionalism, and a Vice President from the CMO's office. Dr. Thomas attends; depending on the report, Dr. Parkas or others attend with him.</w:t>
      </w:r>
    </w:p>
    <w:p>
      <w:pPr>
        <w:spacing w:after="120" w:before="0" w:line="276"/>
      </w:pPr>
      <w:r>
        <w:rPr>
          <w:rFonts w:ascii="Calibri" w:cs="Calibri" w:eastAsia="Calibri" w:hAnsi="Calibri"/>
          <w:color w:val="404040"/>
          <w:sz w:val="22"/>
          <w:szCs w:val="22"/>
        </w:rPr>
        <w:t xml:space="preserve">Most reports are anonymous; six were non-anonymous in this cycle, with primarily tit-for-tat dynamics. One repeat offender (a student) received two complaints in the window; the student received feedback from Dr. Thomas and other Senior Associate Deans.</w:t>
      </w:r>
    </w:p>
    <w:p>
      <w:pPr>
        <w:pStyle w:val="Heading3"/>
        <w:spacing w:after="80" w:before="180"/>
      </w:pPr>
      <w:r>
        <w:rPr>
          <w:rFonts w:ascii="Calibri" w:cs="Calibri" w:eastAsia="Calibri" w:hAnsi="Calibri"/>
          <w:b/>
          <w:bCs/>
          <w:i/>
          <w:iCs/>
          <w:color w:val="404040"/>
          <w:sz w:val="22"/>
          <w:szCs w:val="22"/>
        </w:rPr>
        <w:t xml:space="preserve">Member Discussion — GME Perspective</w:t>
      </w:r>
    </w:p>
    <w:p>
      <w:pPr>
        <w:spacing w:after="120" w:before="0" w:line="276"/>
      </w:pPr>
      <w:r>
        <w:rPr>
          <w:rFonts w:ascii="Calibri" w:cs="Calibri" w:eastAsia="Calibri" w:hAnsi="Calibri"/>
          <w:color w:val="404040"/>
          <w:sz w:val="22"/>
          <w:szCs w:val="22"/>
        </w:rPr>
        <w:t xml:space="preserve">Dr. Michael Leitman offered the GME perspective: a five-year review of approximately 650 reports across the GME population shows a different reporter and target profile than the UME data Dr. Thomas presented, with more reports about faculty, residents, nurses, and technical staff. The populations and dynamics differ.</w:t>
      </w:r>
    </w:p>
    <w:p>
      <w:pPr>
        <w:spacing w:after="120" w:before="0" w:line="276"/>
      </w:pPr>
      <w:r>
        <w:rPr>
          <w:rFonts w:ascii="Calibri" w:cs="Calibri" w:eastAsia="Calibri" w:hAnsi="Calibri"/>
          <w:color w:val="404040"/>
          <w:sz w:val="22"/>
          <w:szCs w:val="22"/>
        </w:rPr>
        <w:t xml:space="preserve">Dr. Holzer raised the COFFEE program's 'peer messenger' model for less-severe reports — in which a peer faculty member (or a peer resident, for resident-side reports) has a follow-up conversation with the person who was the subject of the report. Dr. Holzer recalled that the school previously trained student messengers in the early rollout of the program but does not currently have any in place. Dr. Leitman confirmed that recent training has lapsed for both student and resident messengers, indicated that the model continues to make sense for students, and offered to bring the matter to the program for renewed training.</w:t>
      </w:r>
    </w:p>
    <w:p>
      <w:pPr>
        <w:pStyle w:val="Heading3"/>
        <w:spacing w:after="80" w:before="180"/>
      </w:pPr>
      <w:r>
        <w:rPr>
          <w:rFonts w:ascii="Calibri" w:cs="Calibri" w:eastAsia="Calibri" w:hAnsi="Calibri"/>
          <w:b/>
          <w:bCs/>
          <w:i/>
          <w:iCs/>
          <w:color w:val="404040"/>
          <w:sz w:val="22"/>
          <w:szCs w:val="22"/>
        </w:rPr>
        <w:t xml:space="preserve">Member Discussion — Social Media Committee Trainee Representation</w:t>
      </w:r>
    </w:p>
    <w:p>
      <w:pPr>
        <w:spacing w:after="120" w:before="0" w:line="276"/>
      </w:pPr>
      <w:r>
        <w:rPr>
          <w:rFonts w:ascii="Calibri" w:cs="Calibri" w:eastAsia="Calibri" w:hAnsi="Calibri"/>
          <w:color w:val="404040"/>
          <w:sz w:val="22"/>
          <w:szCs w:val="22"/>
        </w:rPr>
        <w:t xml:space="preserve">Dr. Thomas reported that Dr. Parkas, Dr. Leitman, and he had recently petitioned and succeeded in increasing trainee-representative faculty representation on the Social Media Committee — both UME-side (from the school) and GME-side (from Dr. Leitman's sphere). At present, the Social Media Committee does not have student trainees as members; Dr. Thomas indicated this has been discussed with the committee.</w:t>
      </w:r>
    </w:p>
    <w:p>
      <w:pPr>
        <w:spacing w:after="120" w:before="0" w:line="276"/>
      </w:pPr>
      <w:r>
        <w:rPr>
          <w:rFonts w:ascii="Calibri" w:cs="Calibri" w:eastAsia="Calibri" w:hAnsi="Calibri"/>
          <w:color w:val="404040"/>
          <w:sz w:val="22"/>
          <w:szCs w:val="22"/>
        </w:rPr>
        <w:t xml:space="preserve">Dr. Leitman added that historical attempts at student/resident trainee membership on the Social Media Committee suffered from inconsistent attendance and attrition; renewed attention to this would be welcome but requires committed engagement.</w:t>
      </w:r>
    </w:p>
    <w:p>
      <w:pPr>
        <w:pStyle w:val="Heading3"/>
        <w:spacing w:after="80" w:before="180"/>
      </w:pPr>
      <w:r>
        <w:rPr>
          <w:rFonts w:ascii="Calibri" w:cs="Calibri" w:eastAsia="Calibri" w:hAnsi="Calibri"/>
          <w:b/>
          <w:bCs/>
          <w:i/>
          <w:iCs/>
          <w:color w:val="404040"/>
          <w:sz w:val="22"/>
          <w:szCs w:val="22"/>
        </w:rPr>
        <w:t xml:space="preserve">Member Discussion — Student Body Communication</w:t>
      </w:r>
    </w:p>
    <w:p>
      <w:pPr>
        <w:spacing w:after="120" w:before="0" w:line="276"/>
      </w:pPr>
      <w:r>
        <w:rPr>
          <w:rFonts w:ascii="Calibri" w:cs="Calibri" w:eastAsia="Calibri" w:hAnsi="Calibri"/>
          <w:color w:val="404040"/>
          <w:sz w:val="22"/>
          <w:szCs w:val="22"/>
        </w:rPr>
        <w:t xml:space="preserve">The Chair suggested that the Student Council might be the natural channel through which mistreatment-data insights could be communicated to the broader student body in a meaningful way; the Chair indicated this could be discussed offline. Dr. Thomas concurred.</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The committee received the annual Mistreatment Data report. The October 18, 2024 EOC action item committing Dr. Thomas to present the real-time mistreatment data to the EOC is closed by this presentation. Follow-up items captured in Appendix A include the peer-messenger training renewal and the Social Media Committee trainee-representation work.</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 Chair returned approximately six minutes of meeting time to members. The Chair confirmed the next standing EOC meeting on Friday, January 24, 2025, with the agenda to be circulated the prior week. There being no further business, Dr. Francis declared the meeting adjourned.</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January 24, 2025</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January 10, 2025.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Michelle Francis, MD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JANUARY 10, 2025  —  Pre-Medical Requirements Annual Review</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FlexMed / Early Assurance Pre-Matriculation Requirements — Implementation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Implement the approved updates to the FlexMed / Early Assurance pre-matriculation requirements: (i) annualized 3.5 GPA standard (replacing the cumulative 3.5 standard) and (ii) science GPA threshold of 3.6. Coordinate with FlexMed / Early Assurance partner undergraduate institutions. Build monitoring infrastructure to surface annualized GPA threshold breaches for school-side review.</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V. Parkas, MD</w:t>
            </w:r>
          </w:p>
          <w:p>
            <w:pPr>
              <w:spacing w:after="40" w:before="40" w:line="276"/>
            </w:pPr>
            <w:r>
              <w:rPr>
                <w:rFonts w:ascii="Calibri" w:cs="Calibri" w:eastAsia="Calibri" w:hAnsi="Calibri"/>
                <w:color w:val="404040"/>
                <w:sz w:val="22"/>
                <w:szCs w:val="22"/>
              </w:rPr>
              <w:t xml:space="preserve">J. Chudow (Office of Admissions)</w:t>
            </w:r>
          </w:p>
          <w:p>
            <w:pPr>
              <w:spacing w:after="40" w:before="40" w:line="276"/>
            </w:pPr>
            <w:r>
              <w:rPr>
                <w:rFonts w:ascii="Calibri" w:cs="Calibri" w:eastAsia="Calibri" w:hAnsi="Calibri"/>
                <w:color w:val="404040"/>
                <w:sz w:val="22"/>
                <w:szCs w:val="22"/>
              </w:rPr>
              <w:t xml:space="preserve">Pre-Medical Requirements Working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10.1 / 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Effective AY 2025–2026 admissions cycle; status at next annual pre-medical requirements review (AY 2025–2026)</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JANUARY 10, 2025  —  Annual Mistreatment Data Report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Annual Mistreatment Data — Continued EOC Reporting Cadence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annual presentation of the institutional Mistreatment Data report to the EOC. Normalize the reporting window to a consistent annual cadence going forward (the AY 2023-24 window was a catch-up reporting window).</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M. Leitman, MD</w:t>
            </w:r>
          </w:p>
          <w:p>
            <w:pPr>
              <w:spacing w:after="40" w:before="40" w:line="276"/>
            </w:pPr>
            <w:r>
              <w:rPr>
                <w:rFonts w:ascii="Calibri" w:cs="Calibri" w:eastAsia="Calibri" w:hAnsi="Calibri"/>
                <w:color w:val="404040"/>
                <w:sz w:val="22"/>
                <w:szCs w:val="22"/>
              </w:rPr>
              <w:t xml:space="preserve">V. Parkas, MD</w:t>
            </w:r>
          </w:p>
          <w:p>
            <w:pPr>
              <w:spacing w:after="40" w:before="40" w:line="276"/>
            </w:pPr>
            <w:r>
              <w:rPr>
                <w:rFonts w:ascii="Calibri" w:cs="Calibri" w:eastAsia="Calibri" w:hAnsi="Calibri"/>
                <w:color w:val="404040"/>
                <w:sz w:val="22"/>
                <w:szCs w:val="22"/>
              </w:rPr>
              <w:t xml:space="preserve">COFFEE Program leadership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 / 3.6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Annual; next report AY 2025–2026</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COFFEE Peer Messenger Program — Trainee Track Reinstatement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Reinstate trained peer messengers for the UME and GME tracks of the COFFEE program (less-severe report follow-up via peer-to-peer conversation). Driver: Dr. Holzer's question; Dr. Leitman's confirmation that recent training has lapsed for both student and resident messengers.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Leitman, MD</w:t>
            </w:r>
          </w:p>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COFFEE Program leadership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During AY 2024–2025; status to EOC by end of academic year</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Social Media Committee — Trainee Representation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advocacy for student trainee membership on the institutional Social Media Committee. Dr. Parkas, Dr. Leitman, and Dr. Thomas have successfully increased trainee-representative faculty representation; student trainees remain unrepresented. Engagement-sustainability is a known challenge from prior attempts.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V. Parkas, MD</w:t>
            </w:r>
          </w:p>
          <w:p>
            <w:pPr>
              <w:spacing w:after="40" w:before="40" w:line="276"/>
            </w:pPr>
            <w:r>
              <w:rPr>
                <w:rFonts w:ascii="Calibri" w:cs="Calibri" w:eastAsia="Calibri" w:hAnsi="Calibri"/>
                <w:color w:val="404040"/>
                <w:sz w:val="22"/>
                <w:szCs w:val="22"/>
              </w:rPr>
              <w:t xml:space="preserve">M. Leitman,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During AY 2024–2025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Student Council Engagement on Mistreatment Data Communication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Engage Student Council as a channel for communicating mistreatment-data insights to the broader student body in a manageable, age-appropriate format. Driver: Chair's suggestion offline at the close of the report.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Student Representatives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 / 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By end of AY 2024–2025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Closure — October 18, 2024 Real-Time Mistreatment Data Commitment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Closes the October 18, 2024 EOC Appendix A item committing Dr. Thomas to present real-time institutional mistreatment data to the EOC. The presentation at this January 10, 2025 meeting satisfies that commitment; annual reporting cadence continues per the new Appendix A item above.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3.5 / 3.6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Closed at this meeting</w:t>
            </w:r>
          </w:p>
        </w:tc>
        <w:tc>
          <w:tcPr>
            <w:tcW w:type="dxa" w:w="11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CLOSED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Closed January 10, 2025 by presentation of annual Mistreatment Data report at this EOC meeting.</w:t>
            </w: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January 10, 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January 10,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2026-05-25T14:59:38.775Z</dcterms:created>
  <dcterms:modified xsi:type="dcterms:W3CDTF">2026-05-25T14:59:38.775Z</dcterms:modified>
</cp:coreProperties>
</file>

<file path=docProps/custom.xml><?xml version="1.0" encoding="utf-8"?>
<Properties xmlns="http://schemas.openxmlformats.org/officeDocument/2006/custom-properties" xmlns:vt="http://schemas.openxmlformats.org/officeDocument/2006/docPropsVTypes"/>
</file>