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400"/>
        <w:jc w:val="center"/>
      </w:pPr>
      <w:r>
        <w:rPr>
          <w:b/>
          <w:bCs/>
          <w:color w:val="1DB954"/>
          <w:sz w:val="28"/>
          <w:szCs w:val="28"/>
        </w:rPr>
        <w:t xml:space="preserve">Techolas Technologies, Calicut</w:t>
      </w:r>
    </w:p>
    <w:p>
      <w:pPr>
        <w:spacing w:after="150"/>
        <w:jc w:val="center"/>
      </w:pPr>
      <w:r>
        <w:rPr>
          <w:b/>
          <w:bCs/>
          <w:sz w:val="44"/>
          <w:szCs w:val="44"/>
        </w:rPr>
        <w:t xml:space="preserve">Spotify Song Popularity Prediction</w:t>
      </w:r>
    </w:p>
    <w:p>
      <w:pPr>
        <w:spacing w:after="800"/>
        <w:jc w:val="center"/>
      </w:pPr>
      <w:r>
        <w:rPr>
          <w:i/>
          <w:iCs/>
          <w:sz w:val="26"/>
          <w:szCs w:val="26"/>
        </w:rPr>
        <w:t xml:space="preserve">A Machine Learning Regression Project on Spotify's Top Songs (2010–2019)</w:t>
      </w:r>
    </w:p>
    <w:p>
      <w:pPr>
        <w:spacing w:after="150"/>
        <w:jc w:val="center"/>
      </w:pPr>
      <w:r>
        <w:rPr>
          <w:sz w:val="22"/>
          <w:szCs w:val="22"/>
        </w:rPr>
        <w:t xml:space="preserve">Project Title: Analysis and Prediction of Spotify Song Popularity Using Machine Learning Techniques</w:t>
      </w:r>
    </w:p>
    <w:p>
      <w:pPr>
        <w:spacing w:after="150"/>
        <w:jc w:val="center"/>
      </w:pPr>
      <w:r>
        <w:rPr>
          <w:sz w:val="22"/>
          <w:szCs w:val="22"/>
        </w:rPr>
        <w:t xml:space="preserve">Your Name: [Your Name]</w:t>
      </w:r>
    </w:p>
    <w:p>
      <w:pPr>
        <w:spacing w:after="150"/>
        <w:jc w:val="center"/>
      </w:pPr>
      <w:r>
        <w:rPr>
          <w:sz w:val="22"/>
          <w:szCs w:val="22"/>
        </w:rPr>
        <w:t xml:space="preserve">Date: August 2026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Introduction</w:t>
      </w:r>
    </w:p>
    <w:p>
      <w:pPr>
        <w:pStyle w:val="Heading2"/>
        <w:spacing w:after="120" w:before="250"/>
      </w:pPr>
      <w:r>
        <w:t xml:space="preserve">Problem Statement</w:t>
      </w:r>
    </w:p>
    <w:p>
      <w:pPr>
        <w:spacing w:after="150"/>
      </w:pPr>
      <w:r>
        <w:t xml:space="preserve">Streaming platforms like Spotify surface millions of tracks to listeners, and popularity is one of the key signals used for recommendation, playlisting, and promotion. This project investigates how well a song's audio characteristics — tempo, energy, danceability, loudness, liveness, valence, duration, acousticness, and speechiness — along with its release year and genre, can predict its Spotify popularity score (0–100). A regression pipeline is built, tuned, and evaluated to answer this question.</w:t>
      </w:r>
    </w:p>
    <w:p>
      <w:pPr>
        <w:pStyle w:val="Heading2"/>
        <w:spacing w:after="120" w:before="250"/>
      </w:pPr>
      <w:r>
        <w:t xml:space="preserve">Importance</w:t>
      </w:r>
    </w:p>
    <w:p>
      <w:pPr>
        <w:spacing w:after="150"/>
      </w:pPr>
      <w:r>
        <w:t xml:space="preserve">Understanding what drives popularity has real value for artists, labels, and playlist curators deciding how to produce and position a track. It is also a useful diagnostic: if audio features alone cannot explain popularity well, that itself is an important, evidence-based finding about how much of a song's success is driven by factors outside the audio signal (marketing, artist fame, playlist placement, and virality).</w:t>
      </w:r>
    </w:p>
    <w:p>
      <w:pPr>
        <w:pStyle w:val="Heading1"/>
        <w:spacing w:after="150" w:before="300"/>
      </w:pPr>
      <w:r>
        <w:t xml:space="preserve">2. Dataset Overview</w:t>
      </w:r>
    </w:p>
    <w:p>
      <w:pPr>
        <w:pStyle w:val="Heading2"/>
        <w:spacing w:after="120" w:before="250"/>
      </w:pPr>
      <w:r>
        <w:t xml:space="preserve">Source</w:t>
      </w:r>
    </w:p>
    <w:p>
      <w:pPr>
        <w:spacing w:after="150"/>
      </w:pPr>
      <w:r>
        <w:t xml:space="preserve">"Top Spotify Songs from 2010–2019, by Year" — originally published on Kaggle by Leonardo Henrique, mirrored on Zenodo under a CC-BY 4.0 license. Each row is a track that appeared in Spotify's year-end Top 10 songs list for that year.</w:t>
      </w:r>
    </w:p>
    <w:p>
      <w:pPr>
        <w:pStyle w:val="Heading2"/>
        <w:spacing w:after="120" w:before="250"/>
      </w:pPr>
      <w:r>
        <w:t xml:space="preserve">Description</w:t>
      </w:r>
    </w:p>
    <w:p>
      <w:pPr>
        <w:spacing w:after="150"/>
      </w:pPr>
      <w:r>
        <w:t xml:space="preserve">The dataset contains 603 songs and 14 columns spanning 2010–2019: title, artist, genre, release year, and 9 numeric audio features (tempo, energy, danceability, loudness, liveness, valence, duration, acousticness, speechiness), plus the target variable, popularity. There are 184 unique artists and 50 unique (fine-grained) genre labels, and 19 duplicate song titles (re-charted tracks across years).</w:t>
      </w:r>
    </w:p>
    <w:p>
      <w:pPr>
        <w:pStyle w:val="Heading1"/>
        <w:spacing w:after="150" w:before="300"/>
      </w:pPr>
      <w:r>
        <w:t xml:space="preserve">3. Data Understanding</w:t>
      </w:r>
    </w:p>
    <w:p>
      <w:pPr>
        <w:spacing w:after="150"/>
      </w:pPr>
      <w:r>
        <w:t xml:space="preserve">Standard exploratory checks (head(), tail(), shape(), info(), dtypes, describe(), isnull().sum(), and corr()) confirmed the dataset is clean and complete: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Shape: 603 rows × 14 columns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Missing values: 0 (none)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numeric columns are integer-typed (Spotify's audio features are provided as 0–100 scaled integers rather than the usual 0–1 floats in this dataset)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popularity ranges from 0 to 99, with most tracks clustered between 50 and 85</w:t>
      </w:r>
    </w:p>
    <w:p>
      <w:pPr>
        <w:pStyle w:val="Heading1"/>
        <w:spacing w:after="150" w:before="300"/>
      </w:pPr>
      <w:r>
        <w:t xml:space="preserve">4. Exploratory Data Analysis</w:t>
      </w:r>
    </w:p>
    <w:p>
      <w:pPr>
        <w:pStyle w:val="Heading2"/>
        <w:spacing w:after="120" w:before="250"/>
      </w:pPr>
      <w:r>
        <w:t xml:space="preserve">4.1 Correlation Heatmap</w:t>
      </w:r>
    </w:p>
    <w:p>
      <w:pPr>
        <w:spacing w:after="200"/>
        <w:jc w:val="center"/>
      </w:pPr>
      <w:r>
        <w:drawing>
          <wp:inline distT="0" distB="0" distL="0" distR="0">
            <wp:extent cx="4953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20"/>
          <w:szCs w:val="20"/>
        </w:rPr>
        <w:t xml:space="preserve">Figure 1. Correlation heatmap of all numeric audio features and popularity.</w:t>
      </w:r>
    </w:p>
    <w:p>
      <w:pPr>
        <w:spacing w:after="150"/>
      </w:pPr>
      <w:r>
        <w:t xml:space="preserve">The strongest correlations with popularity are weak: year (r = 0.241), loudness (r = 0.157), danceability (r = 0.116). The most notable relationship in the whole matrix is between energy and loudness (r ≈ 0.54) — louder tracks are, unsurprisingly, more energetic-sounding.</w:t>
      </w:r>
    </w:p>
    <w:p>
      <w:pPr>
        <w:pStyle w:val="Heading2"/>
        <w:spacing w:after="120" w:before="250"/>
      </w:pPr>
      <w:r>
        <w:t xml:space="preserve">4.2 Boxplots — Outlier Detection</w:t>
      </w:r>
    </w:p>
    <w:p>
      <w:pPr>
        <w:spacing w:after="20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20"/>
          <w:szCs w:val="20"/>
        </w:rPr>
        <w:t xml:space="preserve">Figure 2. Boxplots of the 8 core audio features, used to identify outliers.</w:t>
      </w:r>
    </w:p>
    <w:p>
      <w:pPr>
        <w:spacing w:after="150"/>
      </w:pPr>
      <w:r>
        <w:t xml:space="preserve">One track ("Million Years Ago") has tempo, energy, danceability = 0 and loudness = −60 dB — a silent/hidden-track data artifact rather than a real audio signature, and was removed in preprocessing (see Section 5).</w:t>
      </w:r>
    </w:p>
    <w:p>
      <w:pPr>
        <w:pStyle w:val="Heading2"/>
        <w:spacing w:after="120" w:before="250"/>
      </w:pPr>
      <w:r>
        <w:t xml:space="preserve">4.3 Pairplot — Popularity vs Key Features</w:t>
      </w:r>
    </w:p>
    <w:p>
      <w:pPr>
        <w:spacing w:after="200"/>
        <w:jc w:val="center"/>
      </w:pPr>
      <w:r>
        <w:drawing>
          <wp:inline distT="0" distB="0" distL="0" distR="0">
            <wp:extent cx="4762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20"/>
          <w:szCs w:val="20"/>
        </w:rPr>
        <w:t xml:space="preserve">Figure 3. Pairwise relationships between popularity, energy, danceability, acousticness, and valence.</w:t>
      </w:r>
    </w:p>
    <w:p>
      <w:pPr>
        <w:pStyle w:val="Heading2"/>
        <w:spacing w:after="120" w:before="250"/>
      </w:pPr>
      <w:r>
        <w:t xml:space="preserve">4.4 Count Plots — Genres and Songs per Year</w:t>
      </w:r>
    </w:p>
    <w:p>
      <w:pPr>
        <w:spacing w:after="200"/>
        <w:jc w:val="center"/>
      </w:pPr>
      <w:r>
        <w:drawing>
          <wp:inline distT="0" distB="0" distL="0" distR="0">
            <wp:extent cx="4953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20"/>
          <w:szCs w:val="20"/>
        </w:rPr>
        <w:t xml:space="preserve">Figure 4. Top 10 genres by song count (left) and number of charted songs per year (right).</w:t>
      </w:r>
    </w:p>
    <w:p>
      <w:pPr>
        <w:spacing w:after="150"/>
      </w:pPr>
      <w:r>
        <w:t xml:space="preserve">"Dance pop" dominates the dataset by a wide margin, reflecting the pop-heavy nature of year-end Top 10 playlists in this decade.</w:t>
      </w:r>
    </w:p>
    <w:p>
      <w:pPr>
        <w:pStyle w:val="Heading2"/>
        <w:spacing w:after="120" w:before="250"/>
      </w:pPr>
      <w:r>
        <w:t xml:space="preserve">4.5 Popularity Distribution</w:t>
      </w:r>
    </w:p>
    <w:p>
      <w:pPr>
        <w:spacing w:after="200"/>
        <w:jc w:val="center"/>
      </w:pPr>
      <w:r>
        <w:drawing>
          <wp:inline distT="0" distB="0" distL="0" distR="0">
            <wp:extent cx="3810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20"/>
          <w:szCs w:val="20"/>
        </w:rPr>
        <w:t xml:space="preserve">Figure 5. Distribution of the target variable, popularity.</w:t>
      </w:r>
    </w:p>
    <w:p>
      <w:pPr>
        <w:pStyle w:val="Heading1"/>
        <w:spacing w:after="150" w:before="300"/>
      </w:pPr>
      <w:r>
        <w:t xml:space="preserve">5. Data Preprocessing</w:t>
      </w:r>
    </w:p>
    <w:p>
      <w:pPr>
        <w:spacing w:after="150"/>
      </w:pPr>
      <w:r>
        <w:t xml:space="preserve">The following preprocessing steps were applied before modeling: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Outlier removal: dropped rows with popularity = 0 (removed/blocked tracks) and loudness ≤ −30 dB (the silent-track artifact) — 5 row(s) removed.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Categorical encoding: genre has 50+ sparse categories; genres with fewer than 8 songs were grouped into "other", yielding 12 genre groups, then one-hot encoded.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 scaling: numeric features were standardized with StandardScaler, fit on the training set only to avoid data leakage.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Train/test split: 80/20 split (random_state = 42) → 478 training rows, 120 test rows, 22 total features.</w:t>
      </w:r>
    </w:p>
    <w:p>
      <w:pPr>
        <w:pStyle w:val="Heading1"/>
        <w:spacing w:after="150" w:before="300"/>
      </w:pPr>
      <w:r>
        <w:t xml:space="preserve">6. Hyperparameter Tuning and Cross-Validation</w:t>
      </w:r>
    </w:p>
    <w:p>
      <w:pPr>
        <w:spacing w:after="150"/>
      </w:pPr>
      <w:r>
        <w:t xml:space="preserve">Hyperparameters (e.g. regularization strength, tree depth, number of neighbors) control model complexity and cannot be learned directly from training data — they must be searched over and validated. This project uses GridSearchCV with 5-fold cross-validation (shuffled KFold) and negative mean squared error as the scoring metric, so the selected hyperparameters generalize rather than overfitting a single validation split.</w:t>
      </w:r>
    </w:p>
    <w:p>
      <w:pPr>
        <w:pStyle w:val="Heading1"/>
        <w:spacing w:after="150" w:before="300"/>
      </w:pPr>
      <w:r>
        <w:t xml:space="preserve">7. Model Building</w:t>
      </w:r>
    </w:p>
    <w:p>
      <w:pPr>
        <w:spacing w:after="150"/>
      </w:pPr>
      <w:r>
        <w:t xml:space="preserve">This is a regression task (predicting a continuous popularity score), so nine regression models were trained and tuned: Linear Regression, Ridge, Lasso, K-Nearest Neighbors (KNN), Support Vector Regression (SVR), Decision Tree, Random Forest, AdaBoost, and Gradient Boosting.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Linear Regression / Ridge / Lasso: fit a linear relationship between features and popularity; Ridge and Lasso add L2/L1 regularization to reduce overfitting and (for Lasso) perform feature selection.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KNN: predicts a song's popularity as a (possibly distance-weighted) average of its k nearest neighbors in feature space.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SVR: fits a regression function within an epsilon-margin tube, using kernels (linear/RBF) to capture non-linear relationships.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Decision Tree / Random Forest: tree-based models that split on feature thresholds; Random Forest averages many trees to reduce variance.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AdaBoost / Gradient Boosting: ensemble methods that build models sequentially, each correcting the errors of the previous ones.</w:t>
      </w:r>
    </w:p>
    <w:p>
      <w:pPr>
        <w:spacing w:after="150"/>
      </w:pPr>
      <w:r>
        <w:t xml:space="preserve">Note: XGBoost was originally planned (per the project's classification/regression guideline) but could not be installed in this offline environment; Gradient Boosting was used as the closest available substitute. See Limitations.</w:t>
      </w:r>
    </w:p>
    <w:p>
      <w:pPr>
        <w:pStyle w:val="Heading1"/>
        <w:spacing w:after="150" w:before="300"/>
      </w:pPr>
      <w:r>
        <w:t xml:space="preserve">8. Model Evaluation</w:t>
      </w:r>
    </w:p>
    <w:p>
      <w:pPr>
        <w:pStyle w:val="Heading2"/>
        <w:spacing w:after="120" w:before="250"/>
      </w:pPr>
      <w:r>
        <w:t xml:space="preserve">Metrics</w:t>
      </w:r>
    </w:p>
    <w:p>
      <w:pPr>
        <w:spacing w:after="150"/>
      </w:pPr>
      <w:r>
        <w:t xml:space="preserve">Models are compared using RMSE (Root Mean Squared Error), MAE (Mean Absolute Error), and R² Score on the held-out 20% test set.</w:t>
      </w:r>
    </w:p>
    <w:p>
      <w:pPr>
        <w:pStyle w:val="Heading2"/>
        <w:spacing w:after="120" w:before="250"/>
      </w:pPr>
      <w:r>
        <w:t xml:space="preserve">Results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400"/>
      </w:tblGrid>
      <w:tr>
        <w:tc>
          <w:tcPr>
            <w:tcW w:type="dxa" w:w="2600"/>
            <w:shd w:fill="1DB95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400"/>
            <w:shd w:fill="1DB95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1400"/>
            <w:shd w:fill="1DB95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1400"/>
            <w:shd w:fill="1DB95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12.967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9.71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0.066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GradientBoosting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13.058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9.716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0.053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13.059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9.922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0.053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Lasso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13.108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9.971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0.046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Ridge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13.123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9.911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0.043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AdaBoost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13.147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10.023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13.156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9.888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0.039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SVR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13.265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9.767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0.023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KNN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13.475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10.03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-0.009</w:t>
            </w:r>
          </w:p>
        </w:tc>
      </w:tr>
    </w:tbl>
    <w:p>
      <w:pPr>
        <w:spacing w:after="200"/>
      </w:pPr>
    </w:p>
    <w:p>
      <w:pPr>
        <w:spacing w:after="200"/>
        <w:jc w:val="center"/>
      </w:pPr>
      <w:r>
        <w:drawing>
          <wp:inline distT="0" distB="0" distL="0" distR="0">
            <wp:extent cx="4762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20"/>
          <w:szCs w:val="20"/>
        </w:rPr>
        <w:t xml:space="preserve">Figure 6. RMSE and MAE by model (lower is better).</w:t>
      </w:r>
    </w:p>
    <w:p>
      <w:pPr>
        <w:spacing w:after="200"/>
        <w:jc w:val="center"/>
      </w:pPr>
      <w:r>
        <w:drawing>
          <wp:inline distT="0" distB="0" distL="0" distR="0">
            <wp:extent cx="42862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20"/>
          <w:szCs w:val="20"/>
        </w:rPr>
        <w:t xml:space="preserve">Figure 7. R² score by model (higher is better; negative means worse than predicting the mean).</w:t>
      </w:r>
    </w:p>
    <w:p>
      <w:pPr>
        <w:spacing w:after="200"/>
        <w:jc w:val="center"/>
      </w:pPr>
      <w:r>
        <w:drawing>
          <wp:inline distT="0" distB="0" distL="0" distR="0">
            <wp:extent cx="333375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20"/>
          <w:szCs w:val="20"/>
        </w:rPr>
        <w:t xml:space="preserve">Figure 8. Predicted vs. actual popularity for the best model, Linear Regression. Points on the dashed line are perfect predictions.</w:t>
      </w:r>
    </w:p>
    <w:p>
      <w:pPr>
        <w:spacing w:after="150"/>
      </w:pPr>
      <w:r>
        <w:t xml:space="preserve">The best-performing model on the held-out test set was Linear Regression, with RMSE = 12.967, MAE = 9.71, and R² = 0.066. All nine tuned models scored within a narrow R² band (roughly -0.009 to 0.066), indicating the ceiling on predictive power here is set by the available features, not by model choice.</w:t>
      </w:r>
    </w:p>
    <w:p>
      <w:pPr>
        <w:pStyle w:val="Heading1"/>
        <w:spacing w:after="150" w:before="300"/>
      </w:pPr>
      <w:r>
        <w:t xml:space="preserve">9. Conclusion</w:t>
      </w:r>
    </w:p>
    <w:p>
      <w:pPr>
        <w:pStyle w:val="Heading2"/>
        <w:spacing w:after="120" w:before="250"/>
      </w:pPr>
      <w: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Linear Regression was the strongest of nine tuned models, but by a small margin — audio features alone explain only a small share of the variance in popularity (R² ≈ 0.066).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year and loudness showed the (weak) strongest individual correlations with popularity.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Energy and loudness are collinear (r ≈ 0.54), as expected physically.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More complex models (Random Forest, Gradient Boosting) did not meaningfully outperform simple linear models — evidence that the limiting factor is signal, not model capacity.</w:t>
      </w:r>
    </w:p>
    <w:p>
      <w:pPr>
        <w:pStyle w:val="Heading2"/>
        <w:spacing w:after="120" w:before="250"/>
      </w:pPr>
      <w:r>
        <w:t xml:space="preserve">Limitations and Improvements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dataset only contains songs that already reached a year-end Top 10 list, so the model can only distinguish degrees of hit songs, not hits from non-hits — a fuller dataset including non-charting songs would likely show a stronger, more meaningful relationship.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603 rows is a small sample for tuning nine models; a larger dataset (e.g. the ~170k-track Spotify dataset referenced in the project brief) would give more stable estimates.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XGBoost could not be installed in this environment; a production run should include it for comparison against Gradient Boosting.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Non-audio features — artist follower count, playlist placements, release-week streams, social media activity — would likely add substantially more predictive power than further audio feature engineering.</w:t>
      </w:r>
    </w:p>
    <w:p>
      <w:pPr>
        <w:pStyle w:val="Heading1"/>
        <w:spacing w:after="150" w:before="300"/>
      </w:pPr>
      <w:r>
        <w:t xml:space="preserve">10. 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Dataset: "Top Spotify Songs from 2010–2019, by Year," originally compiled by Leonardo Henrique on Kaggle; mirrored on Zenodo (CC-BY 4.0).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Kharwal, A. (2021). Spotify Recommendation System with Machine Learning — reference article that inspired this project's framing.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scikit-learn documentation, https://scikit-learn.org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University of British Columbia, DSCI 522 — Spotify Track Popularity Predictor (comparable prior work predicting popularity from audio features).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ed9fd3a8f7f16033d7583ae17d6b7f17cf3b43d.png"/><Relationship Id="rId8" Type="http://schemas.openxmlformats.org/officeDocument/2006/relationships/image" Target="media/a31aa18af6ec249f28743bb817a2387d92664742.png"/><Relationship Id="rId9" Type="http://schemas.openxmlformats.org/officeDocument/2006/relationships/image" Target="media/a58460f3928f33dd75154b81de7934ea62e2e4cf.png"/><Relationship Id="rId10" Type="http://schemas.openxmlformats.org/officeDocument/2006/relationships/image" Target="media/9bfd4c0f23e15b6ac2ff14e6ba3848d503f98319.png"/><Relationship Id="rId11" Type="http://schemas.openxmlformats.org/officeDocument/2006/relationships/image" Target="media/68e4e2e5535cb7dc3e2fe18e0c180ef3ee550cfc.png"/><Relationship Id="rId12" Type="http://schemas.openxmlformats.org/officeDocument/2006/relationships/image" Target="media/8fb5ba7b426d89b19d422b76b9f2f97f74a2dd23.png"/><Relationship Id="rId13" Type="http://schemas.openxmlformats.org/officeDocument/2006/relationships/image" Target="media/479d366b698311a1e4e177b129bbc977dcfaabbe.png"/><Relationship Id="rId14" Type="http://schemas.openxmlformats.org/officeDocument/2006/relationships/image" Target="media/068be224e640de7aaf53a5975accb9fd763dd41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2026-08-24T09:40:24.055Z</dcterms:created>
  <dcterms:modified xsi:type="dcterms:W3CDTF">2026-08-24T09:40:24.066Z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