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Times New Roman" w:cs="Times New Roman" w:eastAsia="Times New Roman" w:hAnsi="Times New Roman"/>
          <w:b/>
          <w:bCs/>
          <w:color w:val="1F3864"/>
          <w:sz w:val="30"/>
          <w:szCs w:val="30"/>
        </w:rPr>
        <w:t xml:space="preserve">Comparative Regulatory Desk Review: Data Centre Environmental and Data Governance Regimes in Indonesia, Benchmarked Against Malaysia</w:t>
      </w:r>
    </w:p>
    <w:p>
      <w:pPr>
        <w:spacing w:after="300"/>
      </w:pPr>
      <w:r>
        <w:rPr>
          <w:rFonts w:ascii="Times New Roman" w:cs="Times New Roman" w:eastAsia="Times New Roman" w:hAnsi="Times New Roman"/>
          <w:i/>
          <w:iCs/>
          <w:sz w:val="20"/>
          <w:szCs w:val="20"/>
        </w:rPr>
        <w:t xml:space="preserve">Prepared under the Global South Alliance, Sinar Project PLT. Activity 1 comparative desk review, Resource Security: Data Center Resource Extraction and Autonomy in the Global South.</w:t>
      </w:r>
    </w:p>
    <w:p>
      <w:pPr>
        <w:spacing w:after="140" w:before="280"/>
      </w:pPr>
      <w:r>
        <w:rPr>
          <w:rFonts w:ascii="Times New Roman" w:cs="Times New Roman" w:eastAsia="Times New Roman" w:hAnsi="Times New Roman"/>
          <w:b/>
          <w:bCs/>
          <w:sz w:val="26"/>
          <w:szCs w:val="26"/>
        </w:rPr>
        <w:t xml:space="preserve">1. Purpose and Scope</w:t>
      </w:r>
    </w:p>
    <w:p>
      <w:pPr>
        <w:spacing w:after="140"/>
        <w:jc w:val="both"/>
      </w:pPr>
      <w:r>
        <w:rPr>
          <w:rFonts w:ascii="Times New Roman" w:cs="Times New Roman" w:eastAsia="Times New Roman" w:hAnsi="Times New Roman"/>
          <w:b w:val="false"/>
          <w:bCs w:val="false"/>
          <w:i w:val="false"/>
          <w:iCs w:val="false"/>
          <w:sz w:val="22"/>
          <w:szCs w:val="22"/>
        </w:rPr>
        <w:t xml:space="preserve">This desk review extends the project's Malaysia-focused regulatory and legislative corpus analysis (full project methodology, Section 6) with a comparative review of Indonesia's data centre environmental review and data governance regime. The purpose is to test whether the cumulative-impact blind spot identified in Malaysia, individually sub-threshold facility parcels escaping Environmental Impact Assessment (EIA) review despite an aggregate footprint that would clearly warrant it, is a Malaysia-specific artefact of a particular threshold design, or a more general feature of hectare- and scale-based environmental permitting regimes applied to a facility class that is unusually land-efficient but resource-intensive. Indonesia is a natural comparator: it hosts the region's most active current wave of hyperscale data centre investment (Section 6 below), operates a broadly similar three-tier environmental review structure to Malaysia's Prescribed Activities Order regime, and has, unlike Malaysia, enacted a general-purpose data protection statute with an explicit two-year implementation runway that has now closed.</w:t>
      </w:r>
    </w:p>
    <w:p>
      <w:pPr>
        <w:spacing w:after="140"/>
        <w:jc w:val="both"/>
      </w:pPr>
      <w:r>
        <w:rPr>
          <w:rFonts w:ascii="Times New Roman" w:cs="Times New Roman" w:eastAsia="Times New Roman" w:hAnsi="Times New Roman"/>
          <w:b w:val="false"/>
          <w:bCs w:val="false"/>
          <w:i w:val="false"/>
          <w:iCs w:val="false"/>
          <w:sz w:val="22"/>
          <w:szCs w:val="22"/>
        </w:rPr>
        <w:t xml:space="preserve">This review is a desk-based regulatory analysis, not a facility-level satellite or resource-extraction study of the kind conducted for Malaysia; the project's Activity 1 scope treats Indonesia as a comparative regulatory case, not a second measurement site. Sources are Indonesian government regulations, licensed-practice guidance, and contemporaneous reporting on the current investment wave, cited where available; several specific figures (exact hectare or capacity thresholds, precise licence-processing timelines) are flagged as PLACEHOLDER pending verification against the primary regulatory text, consistent with the sourcing standard applied elsewhere in this project's outputs.</w:t>
      </w:r>
    </w:p>
    <w:p>
      <w:pPr>
        <w:spacing w:after="140" w:before="280"/>
      </w:pPr>
      <w:r>
        <w:rPr>
          <w:rFonts w:ascii="Times New Roman" w:cs="Times New Roman" w:eastAsia="Times New Roman" w:hAnsi="Times New Roman"/>
          <w:b/>
          <w:bCs/>
          <w:sz w:val="26"/>
          <w:szCs w:val="26"/>
        </w:rPr>
        <w:t xml:space="preserve">2. Environmental Review: AMDAL, UKL-UPL, and SPPL</w:t>
      </w:r>
    </w:p>
    <w:p>
      <w:pPr>
        <w:spacing w:after="110" w:before="220"/>
      </w:pPr>
      <w:r>
        <w:rPr>
          <w:rFonts w:ascii="Times New Roman" w:cs="Times New Roman" w:eastAsia="Times New Roman" w:hAnsi="Times New Roman"/>
          <w:b/>
          <w:bCs/>
          <w:sz w:val="24"/>
          <w:szCs w:val="24"/>
        </w:rPr>
        <w:t xml:space="preserve">2.1 Structure</w:t>
      </w:r>
    </w:p>
    <w:p>
      <w:pPr>
        <w:spacing w:after="140"/>
        <w:jc w:val="both"/>
      </w:pPr>
      <w:r>
        <w:rPr>
          <w:rFonts w:ascii="Times New Roman" w:cs="Times New Roman" w:eastAsia="Times New Roman" w:hAnsi="Times New Roman"/>
          <w:b w:val="false"/>
          <w:bCs w:val="false"/>
          <w:i w:val="false"/>
          <w:iCs w:val="false"/>
          <w:sz w:val="22"/>
          <w:szCs w:val="22"/>
        </w:rPr>
        <w:t xml:space="preserve">Indonesia operates a three-tier environmental document regime, set out in Government Regulation 22/2021 and, for the sector-and-scale list that determines which tier applies to which activity, Ministry of Environment and Forestry Regulation (Permen LHK) No. 4/2021: AMDAL (Analisis Mengenai Dampak Lingkungan, a full environmental impact assessment) for activities judged to have a significant environmental impact, either by virtue of scale/threshold or by location in or adjacent to a protected area; UKL-UPL (Upaya Pengelolaan Lingkungan Hidup–Upaya Pemantauan Lingkungan Hidup, an environmental management and monitoring effort) for medium-impact activities, verified at district, city, or provincial level; and SPPL (Surat Pernyataan Kesanggupan Pengelolaan dan Pemantauan Lingkungan Hidup, a self-declared statement of environmental management capability) for activities with minimal impact. All three are processed through the national Online Single Submission (OSS) system and the linked Amdalnet platform, and the applicable tier is determined jointly by the business's KBLI classification (Section 4) and the specific scale thresholds set in Permen LHK 4/2021's schedule.</w:t>
      </w:r>
    </w:p>
    <w:p>
      <w:pPr>
        <w:spacing w:after="110" w:before="220"/>
      </w:pPr>
      <w:r>
        <w:rPr>
          <w:rFonts w:ascii="Times New Roman" w:cs="Times New Roman" w:eastAsia="Times New Roman" w:hAnsi="Times New Roman"/>
          <w:b/>
          <w:bCs/>
          <w:sz w:val="24"/>
          <w:szCs w:val="24"/>
        </w:rPr>
        <w:t xml:space="preserve">2.2 Application to data centre facilities</w:t>
      </w:r>
    </w:p>
    <w:p>
      <w:pPr>
        <w:spacing w:after="140"/>
        <w:jc w:val="both"/>
      </w:pPr>
      <w:r>
        <w:rPr>
          <w:rFonts w:ascii="Times New Roman" w:cs="Times New Roman" w:eastAsia="Times New Roman" w:hAnsi="Times New Roman"/>
          <w:b w:val="false"/>
          <w:bCs w:val="false"/>
          <w:i w:val="false"/>
          <w:iCs w:val="false"/>
          <w:sz w:val="22"/>
          <w:szCs w:val="22"/>
        </w:rPr>
        <w:t xml:space="preserve">Permen LHK 4/2021's schedule sets AMDAL and UKL-UPL thresholds by land area and, for some sectors, by building floor area or capacity, sector by sector (for example, industrial estates, ports, and large commercial or residential developments each carry their own threshold). [PLACEHOLDER: the schedule's specific threshold, if any, for computing infrastructure/data processing facilities under KBLI 63102 has not been independently verified in this review and should be confirmed against the regulation's current annex before this finding is relied upon.] Publicly available guidance for prospective data centre investors treats the applicable tier as generally determined by land area and integrated site scale rather than by a data-centre-specific trigger category, which mirrors the structural feature already documented for Malaysia: no jurisdiction reviewed in either country has a EIA/AMDAL category written specifically for data centres, so facilities are captured, if at all, under generic industrial, commercial, or telecommunications-infrastructure thresholds designed around older, more land-extensive facility types.</w:t>
      </w:r>
    </w:p>
    <w:p>
      <w:pPr>
        <w:spacing w:after="140"/>
        <w:jc w:val="both"/>
      </w:pPr>
      <w:r>
        <w:rPr>
          <w:rFonts w:ascii="Times New Roman" w:cs="Times New Roman" w:eastAsia="Times New Roman" w:hAnsi="Times New Roman"/>
          <w:b w:val="false"/>
          <w:bCs w:val="false"/>
          <w:i w:val="false"/>
          <w:iCs w:val="false"/>
          <w:sz w:val="22"/>
          <w:szCs w:val="22"/>
        </w:rPr>
        <w:t xml:space="preserve">This structural similarity matters because it means the same aggregation-threshold vulnerability documented for Malaysia is structurally available in Indonesia: a hyperscale campus built as a single large parcel would very plausibly trigger AMDAL on land-area grounds alone, but a corridor of several nominally separate, sub-threshold facility parcels developed sequentially by different operators, or by one operator phasing a campus across several formally distinct site registrations, would not obviously trigger the same review, for the same structural reason Section 6.2 of the full methodology documents for Johor: cumulative impact is not what area-based thresholds are designed to measure. Confirming whether this is happening in practice in Indonesia, as opposed to being merely a structural possibility, would require the same corridor-level parcel and permit-registry cross-referencing this project applied to Malaysia, which is beyond the desk-review scope of this document.</w:t>
      </w:r>
    </w:p>
    <w:p>
      <w:pPr>
        <w:spacing w:after="140" w:before="280"/>
      </w:pPr>
      <w:r>
        <w:rPr>
          <w:rFonts w:ascii="Times New Roman" w:cs="Times New Roman" w:eastAsia="Times New Roman" w:hAnsi="Times New Roman"/>
          <w:b/>
          <w:bCs/>
          <w:sz w:val="26"/>
          <w:szCs w:val="26"/>
        </w:rPr>
        <w:t xml:space="preserve">3. Data Localisation: Government Regulation 71/2019</w:t>
      </w:r>
    </w:p>
    <w:p>
      <w:pPr>
        <w:spacing w:after="110" w:before="220"/>
      </w:pPr>
      <w:r>
        <w:rPr>
          <w:rFonts w:ascii="Times New Roman" w:cs="Times New Roman" w:eastAsia="Times New Roman" w:hAnsi="Times New Roman"/>
          <w:b/>
          <w:bCs/>
          <w:sz w:val="24"/>
          <w:szCs w:val="24"/>
        </w:rPr>
        <w:t xml:space="preserve">3.1 Original position and subsequent softening</w:t>
      </w:r>
    </w:p>
    <w:p>
      <w:pPr>
        <w:spacing w:after="140"/>
        <w:jc w:val="both"/>
      </w:pPr>
      <w:r>
        <w:rPr>
          <w:rFonts w:ascii="Times New Roman" w:cs="Times New Roman" w:eastAsia="Times New Roman" w:hAnsi="Times New Roman"/>
          <w:b w:val="false"/>
          <w:bCs w:val="false"/>
          <w:i w:val="false"/>
          <w:iCs w:val="false"/>
          <w:sz w:val="22"/>
          <w:szCs w:val="22"/>
        </w:rPr>
        <w:t xml:space="preserve">Government Regulation No. 71/2019 on Electronic System and Transaction Operation (Penyelenggaraan Sistem dan Transaksi Elektronik, GR 71/2019) distinguishes between public and private Electronic System Operators (ESOs). Public ESOs, government bodies and institutions performing public service functions, are required to locate their data centres and disaster recovery centres within Indonesian territory. Private ESOs, in contrast, may locate data outside Indonesia, subject to conditions: the offshore location must not diminish the effectiveness of Indonesian regulatory supervision, and the operator must provide access for supervision and law enforcement purposes on request. This represented a significant softening relative to GR 71/2019's 2012 predecessor (Government Regulation 82/2012), which had imposed a blanket in-country data centre and disaster recovery centre requirement on both public and private ESOs; the 2019 regulation is frequently described in legal commentary as removing the general data localisation requirement for the private sector.</w:t>
      </w:r>
    </w:p>
    <w:p>
      <w:pPr>
        <w:spacing w:after="110" w:before="220"/>
      </w:pPr>
      <w:r>
        <w:rPr>
          <w:rFonts w:ascii="Times New Roman" w:cs="Times New Roman" w:eastAsia="Times New Roman" w:hAnsi="Times New Roman"/>
          <w:b/>
          <w:bCs/>
          <w:sz w:val="24"/>
          <w:szCs w:val="24"/>
        </w:rPr>
        <w:t xml:space="preserve">3.2 Sector-specific carve-backs</w:t>
      </w:r>
    </w:p>
    <w:p>
      <w:pPr>
        <w:spacing w:after="140"/>
        <w:jc w:val="both"/>
      </w:pPr>
      <w:r>
        <w:rPr>
          <w:rFonts w:ascii="Times New Roman" w:cs="Times New Roman" w:eastAsia="Times New Roman" w:hAnsi="Times New Roman"/>
          <w:b w:val="false"/>
          <w:bCs w:val="false"/>
          <w:i w:val="false"/>
          <w:iCs w:val="false"/>
          <w:sz w:val="22"/>
          <w:szCs w:val="22"/>
        </w:rPr>
        <w:t xml:space="preserve">Despite the general private-sector softening, sector-specific regulators have reintroduced narrower localisation requirements for regulated industries. Banks, under Financial Services Authority (OJK) regulation, are required to place electronic systems, including data centres and disaster recovery centres, within Indonesian territory. [PLACEHOLDER: the current financial-sector regulation number and scope, and whether equivalent requirements apply to other regulated sectors such as payments or insurance, have not been independently verified in this review.] The practical effect is a bifurcated regime: a general private-sector rule that permits offshore data location under conditions, layered with sector-specific carve-backs that function, for regulated financial institutions at least, similarly to the blanket rule the 2019 regulation otherwise removed.</w:t>
      </w:r>
    </w:p>
    <w:p>
      <w:pPr>
        <w:spacing w:after="110" w:before="220"/>
      </w:pPr>
      <w:r>
        <w:rPr>
          <w:rFonts w:ascii="Times New Roman" w:cs="Times New Roman" w:eastAsia="Times New Roman" w:hAnsi="Times New Roman"/>
          <w:b/>
          <w:bCs/>
          <w:sz w:val="24"/>
          <w:szCs w:val="24"/>
        </w:rPr>
        <w:t xml:space="preserve">3.3 Comparison with Malaysia</w:t>
      </w:r>
    </w:p>
    <w:p>
      <w:pPr>
        <w:spacing w:after="140"/>
        <w:jc w:val="both"/>
      </w:pPr>
      <w:r>
        <w:rPr>
          <w:rFonts w:ascii="Times New Roman" w:cs="Times New Roman" w:eastAsia="Times New Roman" w:hAnsi="Times New Roman"/>
          <w:b w:val="false"/>
          <w:bCs w:val="false"/>
          <w:i w:val="false"/>
          <w:iCs w:val="false"/>
          <w:sz w:val="22"/>
          <w:szCs w:val="22"/>
        </w:rPr>
        <w:t xml:space="preserve">Malaysia has no equivalent general-purpose data localisation statute; data residency obligations there are scattered across sector-specific instruments (for example, financial-sector guidance from Bank Negara Malaysia) rather than a single cross-sectoral regulation of GR 71/2019's kind. Indonesia's approach is therefore more codified and more visible as a single named instrument, but its substantive effect for the specific facility class this project measures, standalone commercial and hyperscale data centre campuses serving foreign cloud and AI workloads, is similar to Malaysia's: neither country requires blanket in-country data location for private, non-financial-sector operators, and both countries' actual data centre siting decisions in this segment appear to be driven primarily by grid capacity, land availability, connectivity, and fiscal incentives (Section 5) rather than by a legal localisation mandate.</w:t>
      </w:r>
    </w:p>
    <w:p>
      <w:pPr>
        <w:spacing w:after="140" w:before="280"/>
      </w:pPr>
      <w:r>
        <w:rPr>
          <w:rFonts w:ascii="Times New Roman" w:cs="Times New Roman" w:eastAsia="Times New Roman" w:hAnsi="Times New Roman"/>
          <w:b/>
          <w:bCs/>
          <w:sz w:val="26"/>
          <w:szCs w:val="26"/>
        </w:rPr>
        <w:t xml:space="preserve">4. Business Classification and Licensing: KBLI</w:t>
      </w:r>
    </w:p>
    <w:p>
      <w:pPr>
        <w:spacing w:after="140"/>
        <w:jc w:val="both"/>
      </w:pPr>
      <w:r>
        <w:rPr>
          <w:rFonts w:ascii="Times New Roman" w:cs="Times New Roman" w:eastAsia="Times New Roman" w:hAnsi="Times New Roman"/>
          <w:b w:val="false"/>
          <w:bCs w:val="false"/>
          <w:i w:val="false"/>
          <w:iCs w:val="false"/>
          <w:sz w:val="22"/>
          <w:szCs w:val="22"/>
        </w:rPr>
        <w:t xml:space="preserve">Indonesia's Standard Classification of Business Fields (Klasifikasi Baku Lapangan Usaha Indonesia, KBLI) determines both the licensing pathway and the applicable environmental-document tier for a given business activity, processed through the OSS system. Under the KBLI 2025 revision, data centre and colocation/hosting activity is classified under KBLI 63102 (Computer Infrastructure Supply, Hosting, and Related Activities); this replaced the prior practice of registering such facilities under adjacent but imprecise codes such as 63111 (data processing activities) or 63122 (commercial web portals), the latter of which has been removed from the KBLI 2025 schedule entirely, requiring operators previously registered under it to reclassify. KBLI 63102 is generally treated as a medium-to-high risk classification requiring a verified Sertifikat Standar (standard certificate) before commercial operation, rather than the lighter-touch registration-only pathway available to genuinely low-risk activities.</w:t>
      </w:r>
    </w:p>
    <w:p>
      <w:pPr>
        <w:spacing w:after="140"/>
        <w:jc w:val="both"/>
      </w:pPr>
      <w:r>
        <w:rPr>
          <w:rFonts w:ascii="Times New Roman" w:cs="Times New Roman" w:eastAsia="Times New Roman" w:hAnsi="Times New Roman"/>
          <w:i/>
          <w:iCs/>
          <w:sz w:val="20"/>
          <w:szCs w:val="20"/>
        </w:rPr>
        <w:t xml:space="preserve">The KBLI reclassification is recent enough (KBLI 2025, with the removal of 63122 flagged in commentary as taking effect via a December 2025 OSS system update) that some publicly available guidance may still reference the pre-2025 codes; this review has attempted to cite the current 63102 classification but the transition should be treated as a live compliance issue for operators and, correspondingly, as a live complication for any facility-count desk review that relies on KBLI-code registries to identify data centre facilities, since a single facility class may appear under at least three different historical codes depending on when it was registered.</w:t>
      </w:r>
    </w:p>
    <w:p>
      <w:pPr>
        <w:spacing w:after="140" w:before="280"/>
      </w:pPr>
      <w:r>
        <w:rPr>
          <w:rFonts w:ascii="Times New Roman" w:cs="Times New Roman" w:eastAsia="Times New Roman" w:hAnsi="Times New Roman"/>
          <w:b/>
          <w:bCs/>
          <w:sz w:val="26"/>
          <w:szCs w:val="26"/>
        </w:rPr>
        <w:t xml:space="preserve">5. Personal Data Protection: Law No. 27/2022 (UU PDP)</w:t>
      </w:r>
    </w:p>
    <w:p>
      <w:pPr>
        <w:spacing w:after="140"/>
        <w:jc w:val="both"/>
      </w:pPr>
      <w:r>
        <w:rPr>
          <w:rFonts w:ascii="Times New Roman" w:cs="Times New Roman" w:eastAsia="Times New Roman" w:hAnsi="Times New Roman"/>
          <w:b w:val="false"/>
          <w:bCs w:val="false"/>
          <w:i w:val="false"/>
          <w:iCs w:val="false"/>
          <w:sz w:val="22"/>
          <w:szCs w:val="22"/>
        </w:rPr>
        <w:t xml:space="preserve">Indonesia enacted its first comprehensive, cross-sectoral personal data protection statute, Law No. 27 of 2022 on Personal Data Protection (UU PDP), on 17 October 2022, with a two-year transition period that closed on 17 October 2024; organisations processing the personal data of individuals in Indonesia are now expected to be in substantive compliance. Unlike GR 71/2019, UU PDP does not itself impose a general data localisation requirement outside the sector-specific carve-backs described in Section 3.2; its focus is instead on processing lawfulness, data subject rights, breach notification, and a supervisory authority structure, with administrative fines of up to 2% of annual revenue for non-compliance. Malaysia's comparable instrument, the Personal Data Protection Act 2010 (PDPA), predates UU PDP by over a decade and, notably, exempted the federal government from its scope until amendments extended coverage; Indonesia's 2022 law is broader in its stated subject-matter coverage of both public and private-sector processing, though enforcement practice under the still-recent Indonesian law remains comparatively less established than under Malaysia's longer-standing framework.</w:t>
      </w:r>
    </w:p>
    <w:p>
      <w:pPr>
        <w:spacing w:after="140"/>
        <w:jc w:val="both"/>
      </w:pPr>
      <w:r>
        <w:rPr>
          <w:rFonts w:ascii="Times New Roman" w:cs="Times New Roman" w:eastAsia="Times New Roman" w:hAnsi="Times New Roman"/>
          <w:b w:val="false"/>
          <w:bCs w:val="false"/>
          <w:i w:val="false"/>
          <w:iCs w:val="false"/>
          <w:sz w:val="22"/>
          <w:szCs w:val="22"/>
        </w:rPr>
        <w:t xml:space="preserve">For this project's specific concern, resource extraction and physical infrastructure siting rather than data flows themselves, UU PDP is of secondary relevance: it governs how personal data within a facility may be processed, not whether or where the facility itself may be built, and it does not appear to function as either an incentive or an obstacle to the physical data centre buildout documented in Section 6. It is included here because the grantor's own framing of the subgrant (data governance and resource extraction as linked concerns) makes it a relevant comparator to Malaysia's PDPA, and because UU PDP's 2024 compliance deadline makes it a live and topical instrument, unlike GR 71/2019, which has been stable since 2019.</w:t>
      </w:r>
    </w:p>
    <w:p>
      <w:pPr>
        <w:spacing w:after="140" w:before="280"/>
      </w:pPr>
      <w:r>
        <w:rPr>
          <w:rFonts w:ascii="Times New Roman" w:cs="Times New Roman" w:eastAsia="Times New Roman" w:hAnsi="Times New Roman"/>
          <w:b/>
          <w:bCs/>
          <w:sz w:val="26"/>
          <w:szCs w:val="26"/>
        </w:rPr>
        <w:t xml:space="preserve">6. The Current Indonesian Buildout: The Batam Case</w:t>
      </w:r>
    </w:p>
    <w:p>
      <w:pPr>
        <w:spacing w:after="140"/>
        <w:jc w:val="both"/>
      </w:pPr>
      <w:r>
        <w:rPr>
          <w:rFonts w:ascii="Times New Roman" w:cs="Times New Roman" w:eastAsia="Times New Roman" w:hAnsi="Times New Roman"/>
          <w:b w:val="false"/>
          <w:bCs w:val="false"/>
          <w:i w:val="false"/>
          <w:iCs w:val="false"/>
          <w:sz w:val="22"/>
          <w:szCs w:val="22"/>
        </w:rPr>
        <w:t xml:space="preserve">Indonesia's data centre sector is in the midst of a significant hyperscale investment wave, most visibly in the Batam Special Economic Zone, roughly 20 kilometres from Singapore. In mid-2026, Nvidia-backed Australian firm Firmus Technologies announced a compute partnership running through 2034, anchored by a 360-megawatt AI data centre campus in Batam intended to house up to 170,000 Nvidia AI accelerator chips from the first quarter of 2027, with Firmus projecting up to USD 30 billion in offtake revenue over the partnership's first six years. PLN Batam, the regional state electricity utility, has publicly committed to supporting the project's power demand as part of a broader stated ambition to enable roughly 2 gigawatts of data centre capacity across Indonesia. Batam's Special Economic Zone status offers a ten-year corporate tax holiday, a fiscal-incentive structure directly comparable to the Johor and Kedah special economic zone incentives already documented in the full methodology's regulatory review for Malaysia (Section 6.1).</w:t>
      </w:r>
    </w:p>
    <w:p>
      <w:pPr>
        <w:spacing w:after="140"/>
        <w:jc w:val="both"/>
      </w:pPr>
      <w:r>
        <w:rPr>
          <w:rFonts w:ascii="Times New Roman" w:cs="Times New Roman" w:eastAsia="Times New Roman" w:hAnsi="Times New Roman"/>
          <w:b w:val="false"/>
          <w:bCs w:val="false"/>
          <w:i w:val="false"/>
          <w:iCs w:val="false"/>
          <w:sz w:val="22"/>
          <w:szCs w:val="22"/>
        </w:rPr>
        <w:t xml:space="preserve">This single project's scale, 360 MW, is comparable to the combined disclosed and modelled capacity of a substantial share of this project's entire 71-building Malaysian dataset (approximately 1,881.6 MW combined across 49 included buildings; see the companion methodology, Section 5.3), concentrated in one facility rather than distributed across dozens. This concentration has a direct implication for the cumulative-impact blind spot discussed in Section 2.2: a single 360 MW, single-parcel campus of this scale is far more likely to individually trigger Indonesia's AMDAL threshold on land-area or capacity grounds than the many smaller, phased Malaysian facilities this project measured, meaning the specific under-threshold aggregation risk documented for Malaysia may be less acute for Indonesia's largest headline projects even as it likely remains present for smaller, more numerous facilities serving domestic and regional colocation demand rather than a single anchor hyperscale tenant.</w:t>
      </w:r>
    </w:p>
    <w:p>
      <w:pPr>
        <w:spacing w:after="140" w:before="280"/>
      </w:pPr>
      <w:r>
        <w:rPr>
          <w:rFonts w:ascii="Times New Roman" w:cs="Times New Roman" w:eastAsia="Times New Roman" w:hAnsi="Times New Roman"/>
          <w:b/>
          <w:bCs/>
          <w:sz w:val="26"/>
          <w:szCs w:val="26"/>
        </w:rPr>
        <w:t xml:space="preserve">7. Comparative Assessment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900"/>
        <w:gridCol w:w="3250"/>
        <w:gridCol w:w="3250"/>
      </w:tblGrid>
      <w:tr>
        <w:tc>
          <w:tcPr>
            <w:tcW w:type="dxa" w:w="2900"/>
            <w:shd w:fill="1F3864" w:val="clear"/>
            <w:vAlign w:val="center"/>
          </w:tcPr>
          <w:p>
            <w:r>
              <w:rPr>
                <w:rFonts w:ascii="Times New Roman" w:cs="Times New Roman" w:eastAsia="Times New Roman" w:hAnsi="Times New Roman"/>
                <w:b/>
                <w:bCs/>
                <w:color w:val="FFFFFF"/>
                <w:sz w:val="20"/>
                <w:szCs w:val="20"/>
              </w:rPr>
              <w:t xml:space="preserve">Dimension</w:t>
            </w:r>
          </w:p>
        </w:tc>
        <w:tc>
          <w:tcPr>
            <w:tcW w:type="dxa" w:w="3250"/>
            <w:shd w:fill="1F3864" w:val="clear"/>
            <w:vAlign w:val="center"/>
          </w:tcPr>
          <w:p>
            <w:r>
              <w:rPr>
                <w:rFonts w:ascii="Times New Roman" w:cs="Times New Roman" w:eastAsia="Times New Roman" w:hAnsi="Times New Roman"/>
                <w:b/>
                <w:bCs/>
                <w:color w:val="FFFFFF"/>
                <w:sz w:val="20"/>
                <w:szCs w:val="20"/>
              </w:rPr>
              <w:t xml:space="preserve">Malaysia (established, full methodology Section 6)</w:t>
            </w:r>
          </w:p>
        </w:tc>
        <w:tc>
          <w:tcPr>
            <w:tcW w:type="dxa" w:w="3250"/>
            <w:shd w:fill="1F3864" w:val="clear"/>
            <w:vAlign w:val="center"/>
          </w:tcPr>
          <w:p>
            <w:r>
              <w:rPr>
                <w:rFonts w:ascii="Times New Roman" w:cs="Times New Roman" w:eastAsia="Times New Roman" w:hAnsi="Times New Roman"/>
                <w:b/>
                <w:bCs/>
                <w:color w:val="FFFFFF"/>
                <w:sz w:val="20"/>
                <w:szCs w:val="20"/>
              </w:rPr>
              <w:t xml:space="preserve">Indonesia (this review)</w:t>
            </w:r>
          </w:p>
        </w:tc>
      </w:tr>
      <w:tr>
        <w:tc>
          <w:tcPr>
            <w:tcW w:type="dxa" w:w="2900"/>
            <w:vAlign w:val="center"/>
          </w:tcPr>
          <w:p>
            <w:r>
              <w:rPr>
                <w:rFonts w:ascii="Times New Roman" w:cs="Times New Roman" w:eastAsia="Times New Roman" w:hAnsi="Times New Roman"/>
                <w:b w:val="false"/>
                <w:bCs w:val="false"/>
                <w:color w:val="000000"/>
                <w:sz w:val="20"/>
                <w:szCs w:val="20"/>
              </w:rPr>
              <w:t xml:space="preserve">Environmental review structure</w:t>
            </w:r>
          </w:p>
        </w:tc>
        <w:tc>
          <w:tcPr>
            <w:tcW w:type="dxa" w:w="3250"/>
            <w:vAlign w:val="center"/>
          </w:tcPr>
          <w:p>
            <w:r>
              <w:rPr>
                <w:rFonts w:ascii="Times New Roman" w:cs="Times New Roman" w:eastAsia="Times New Roman" w:hAnsi="Times New Roman"/>
                <w:b w:val="false"/>
                <w:bCs w:val="false"/>
                <w:color w:val="000000"/>
                <w:sz w:val="20"/>
                <w:szCs w:val="20"/>
              </w:rPr>
              <w:t xml:space="preserve">Three-tier: EIA (federal Prescribed Activities Order and state equivalents, e.g. Sarawak NREB), with no data-centre-specific trigger category.</w:t>
            </w:r>
          </w:p>
        </w:tc>
        <w:tc>
          <w:tcPr>
            <w:tcW w:type="dxa" w:w="3250"/>
            <w:vAlign w:val="center"/>
          </w:tcPr>
          <w:p>
            <w:r>
              <w:rPr>
                <w:rFonts w:ascii="Times New Roman" w:cs="Times New Roman" w:eastAsia="Times New Roman" w:hAnsi="Times New Roman"/>
                <w:b w:val="false"/>
                <w:bCs w:val="false"/>
                <w:color w:val="000000"/>
                <w:sz w:val="20"/>
                <w:szCs w:val="20"/>
              </w:rPr>
              <w:t xml:space="preserve">Three-tier: AMDAL / UKL-UPL / SPPL under PP 22/2021 and Permen LHK 4/2021, with no confirmed data-centre-specific trigger category.</w:t>
            </w:r>
          </w:p>
        </w:tc>
      </w:tr>
      <w:tr>
        <w:tc>
          <w:tcPr>
            <w:tcW w:type="dxa" w:w="2900"/>
            <w:vAlign w:val="center"/>
          </w:tcPr>
          <w:p>
            <w:r>
              <w:rPr>
                <w:rFonts w:ascii="Times New Roman" w:cs="Times New Roman" w:eastAsia="Times New Roman" w:hAnsi="Times New Roman"/>
                <w:b w:val="false"/>
                <w:bCs w:val="false"/>
                <w:color w:val="000000"/>
                <w:sz w:val="20"/>
                <w:szCs w:val="20"/>
              </w:rPr>
              <w:t xml:space="preserve">Typical facility parcel size vs. threshold</w:t>
            </w:r>
          </w:p>
        </w:tc>
        <w:tc>
          <w:tcPr>
            <w:tcW w:type="dxa" w:w="3250"/>
            <w:vAlign w:val="center"/>
          </w:tcPr>
          <w:p>
            <w:r>
              <w:rPr>
                <w:rFonts w:ascii="Times New Roman" w:cs="Times New Roman" w:eastAsia="Times New Roman" w:hAnsi="Times New Roman"/>
                <w:b w:val="false"/>
                <w:bCs w:val="false"/>
                <w:color w:val="000000"/>
                <w:sz w:val="20"/>
                <w:szCs w:val="20"/>
              </w:rPr>
              <w:t xml:space="preserve">Individual DC parcels typically 1-2 acres, well under hectare-based EIA thresholds; cumulative-impact blind spot documented and quantified (Sedenak corridor pilot and full 71-building rollout).</w:t>
            </w:r>
          </w:p>
        </w:tc>
        <w:tc>
          <w:tcPr>
            <w:tcW w:type="dxa" w:w="3250"/>
            <w:vAlign w:val="center"/>
          </w:tcPr>
          <w:p>
            <w:r>
              <w:rPr>
                <w:rFonts w:ascii="Times New Roman" w:cs="Times New Roman" w:eastAsia="Times New Roman" w:hAnsi="Times New Roman"/>
                <w:b w:val="false"/>
                <w:bCs w:val="false"/>
                <w:color w:val="000000"/>
                <w:sz w:val="20"/>
                <w:szCs w:val="20"/>
              </w:rPr>
              <w:t xml:space="preserve">Structurally similar aggregation vulnerability plausible but not independently measured in this desk review; large anchor-tenant campuses (e.g. Batam, 360 MW single parcel) may individually trigger AMDAL on scale grounds, unlike Malaysia's smaller multi-tenant parcels.</w:t>
            </w:r>
          </w:p>
        </w:tc>
      </w:tr>
      <w:tr>
        <w:tc>
          <w:tcPr>
            <w:tcW w:type="dxa" w:w="2900"/>
            <w:vAlign w:val="center"/>
          </w:tcPr>
          <w:p>
            <w:r>
              <w:rPr>
                <w:rFonts w:ascii="Times New Roman" w:cs="Times New Roman" w:eastAsia="Times New Roman" w:hAnsi="Times New Roman"/>
                <w:b w:val="false"/>
                <w:bCs w:val="false"/>
                <w:color w:val="000000"/>
                <w:sz w:val="20"/>
                <w:szCs w:val="20"/>
              </w:rPr>
              <w:t xml:space="preserve">Data localisation</w:t>
            </w:r>
          </w:p>
        </w:tc>
        <w:tc>
          <w:tcPr>
            <w:tcW w:type="dxa" w:w="3250"/>
            <w:vAlign w:val="center"/>
          </w:tcPr>
          <w:p>
            <w:r>
              <w:rPr>
                <w:rFonts w:ascii="Times New Roman" w:cs="Times New Roman" w:eastAsia="Times New Roman" w:hAnsi="Times New Roman"/>
                <w:b w:val="false"/>
                <w:bCs w:val="false"/>
                <w:color w:val="000000"/>
                <w:sz w:val="20"/>
                <w:szCs w:val="20"/>
              </w:rPr>
              <w:t xml:space="preserve">No general cross-sectoral statute; sector-specific instruments only (e.g. financial-sector guidance).</w:t>
            </w:r>
          </w:p>
        </w:tc>
        <w:tc>
          <w:tcPr>
            <w:tcW w:type="dxa" w:w="3250"/>
            <w:vAlign w:val="center"/>
          </w:tcPr>
          <w:p>
            <w:r>
              <w:rPr>
                <w:rFonts w:ascii="Times New Roman" w:cs="Times New Roman" w:eastAsia="Times New Roman" w:hAnsi="Times New Roman"/>
                <w:b w:val="false"/>
                <w:bCs w:val="false"/>
                <w:color w:val="000000"/>
                <w:sz w:val="20"/>
                <w:szCs w:val="20"/>
              </w:rPr>
              <w:t xml:space="preserve">GR 71/2019: general private-sector localisation requirement removed in 2019; public-sector and financial-sector carve-backs remain.</w:t>
            </w:r>
          </w:p>
        </w:tc>
      </w:tr>
      <w:tr>
        <w:tc>
          <w:tcPr>
            <w:tcW w:type="dxa" w:w="2900"/>
            <w:vAlign w:val="center"/>
          </w:tcPr>
          <w:p>
            <w:r>
              <w:rPr>
                <w:rFonts w:ascii="Times New Roman" w:cs="Times New Roman" w:eastAsia="Times New Roman" w:hAnsi="Times New Roman"/>
                <w:b w:val="false"/>
                <w:bCs w:val="false"/>
                <w:color w:val="000000"/>
                <w:sz w:val="20"/>
                <w:szCs w:val="20"/>
              </w:rPr>
              <w:t xml:space="preserve">Personal data protection</w:t>
            </w:r>
          </w:p>
        </w:tc>
        <w:tc>
          <w:tcPr>
            <w:tcW w:type="dxa" w:w="3250"/>
            <w:vAlign w:val="center"/>
          </w:tcPr>
          <w:p>
            <w:r>
              <w:rPr>
                <w:rFonts w:ascii="Times New Roman" w:cs="Times New Roman" w:eastAsia="Times New Roman" w:hAnsi="Times New Roman"/>
                <w:b w:val="false"/>
                <w:bCs w:val="false"/>
                <w:color w:val="000000"/>
                <w:sz w:val="20"/>
                <w:szCs w:val="20"/>
              </w:rPr>
              <w:t xml:space="preserve">Personal Data Protection Act 2010 (PDPA), longer-standing, historically narrower public-sector coverage.</w:t>
            </w:r>
          </w:p>
        </w:tc>
        <w:tc>
          <w:tcPr>
            <w:tcW w:type="dxa" w:w="3250"/>
            <w:vAlign w:val="center"/>
          </w:tcPr>
          <w:p>
            <w:r>
              <w:rPr>
                <w:rFonts w:ascii="Times New Roman" w:cs="Times New Roman" w:eastAsia="Times New Roman" w:hAnsi="Times New Roman"/>
                <w:b w:val="false"/>
                <w:bCs w:val="false"/>
                <w:color w:val="000000"/>
                <w:sz w:val="20"/>
                <w:szCs w:val="20"/>
              </w:rPr>
              <w:t xml:space="preserve">UU PDP (Law 27/2022), broader stated coverage, transition period closed October 2024, enforcement practice still maturing.</w:t>
            </w:r>
          </w:p>
        </w:tc>
      </w:tr>
      <w:tr>
        <w:tc>
          <w:tcPr>
            <w:tcW w:type="dxa" w:w="2900"/>
            <w:vAlign w:val="center"/>
          </w:tcPr>
          <w:p>
            <w:r>
              <w:rPr>
                <w:rFonts w:ascii="Times New Roman" w:cs="Times New Roman" w:eastAsia="Times New Roman" w:hAnsi="Times New Roman"/>
                <w:b w:val="false"/>
                <w:bCs w:val="false"/>
                <w:color w:val="000000"/>
                <w:sz w:val="20"/>
                <w:szCs w:val="20"/>
              </w:rPr>
              <w:t xml:space="preserve">Business classification</w:t>
            </w:r>
          </w:p>
        </w:tc>
        <w:tc>
          <w:tcPr>
            <w:tcW w:type="dxa" w:w="3250"/>
            <w:vAlign w:val="center"/>
          </w:tcPr>
          <w:p>
            <w:r>
              <w:rPr>
                <w:rFonts w:ascii="Times New Roman" w:cs="Times New Roman" w:eastAsia="Times New Roman" w:hAnsi="Times New Roman"/>
                <w:b w:val="false"/>
                <w:bCs w:val="false"/>
                <w:color w:val="000000"/>
                <w:sz w:val="20"/>
                <w:szCs w:val="20"/>
              </w:rPr>
              <w:t xml:space="preserve">No single unifying classification code system of this kind identified for data centres specifically.</w:t>
            </w:r>
          </w:p>
        </w:tc>
        <w:tc>
          <w:tcPr>
            <w:tcW w:type="dxa" w:w="3250"/>
            <w:vAlign w:val="center"/>
          </w:tcPr>
          <w:p>
            <w:r>
              <w:rPr>
                <w:rFonts w:ascii="Times New Roman" w:cs="Times New Roman" w:eastAsia="Times New Roman" w:hAnsi="Times New Roman"/>
                <w:b w:val="false"/>
                <w:bCs w:val="false"/>
                <w:color w:val="000000"/>
                <w:sz w:val="20"/>
                <w:szCs w:val="20"/>
              </w:rPr>
              <w:t xml:space="preserve">KBLI 63102 (2025 revision) for computing infrastructure/hosting; recent reclassification from 63111/63122 creates a registry-continuity complication for facility counting.</w:t>
            </w:r>
          </w:p>
        </w:tc>
      </w:tr>
      <w:tr>
        <w:tc>
          <w:tcPr>
            <w:tcW w:type="dxa" w:w="2900"/>
            <w:vAlign w:val="center"/>
          </w:tcPr>
          <w:p>
            <w:r>
              <w:rPr>
                <w:rFonts w:ascii="Times New Roman" w:cs="Times New Roman" w:eastAsia="Times New Roman" w:hAnsi="Times New Roman"/>
                <w:b w:val="false"/>
                <w:bCs w:val="false"/>
                <w:color w:val="000000"/>
                <w:sz w:val="20"/>
                <w:szCs w:val="20"/>
              </w:rPr>
              <w:t xml:space="preserve">Fiscal incentive structure</w:t>
            </w:r>
          </w:p>
        </w:tc>
        <w:tc>
          <w:tcPr>
            <w:tcW w:type="dxa" w:w="3250"/>
            <w:vAlign w:val="center"/>
          </w:tcPr>
          <w:p>
            <w:r>
              <w:rPr>
                <w:rFonts w:ascii="Times New Roman" w:cs="Times New Roman" w:eastAsia="Times New Roman" w:hAnsi="Times New Roman"/>
                <w:b w:val="false"/>
                <w:bCs w:val="false"/>
                <w:color w:val="000000"/>
                <w:sz w:val="20"/>
                <w:szCs w:val="20"/>
              </w:rPr>
              <w:t xml:space="preserve">Special Economic Zone incentives in Johor and Kedah documented in the full methodology.</w:t>
            </w:r>
          </w:p>
        </w:tc>
        <w:tc>
          <w:tcPr>
            <w:tcW w:type="dxa" w:w="3250"/>
            <w:vAlign w:val="center"/>
          </w:tcPr>
          <w:p>
            <w:r>
              <w:rPr>
                <w:rFonts w:ascii="Times New Roman" w:cs="Times New Roman" w:eastAsia="Times New Roman" w:hAnsi="Times New Roman"/>
                <w:b w:val="false"/>
                <w:bCs w:val="false"/>
                <w:color w:val="000000"/>
                <w:sz w:val="20"/>
                <w:szCs w:val="20"/>
              </w:rPr>
              <w:t xml:space="preserve">Special Economic Zone incentives in Batam (10-year corporate tax holiday) directly comparable in structure.</w:t>
            </w:r>
          </w:p>
        </w:tc>
      </w:tr>
      <w:tr>
        <w:tc>
          <w:tcPr>
            <w:tcW w:type="dxa" w:w="2900"/>
            <w:vAlign w:val="center"/>
          </w:tcPr>
          <w:p>
            <w:r>
              <w:rPr>
                <w:rFonts w:ascii="Times New Roman" w:cs="Times New Roman" w:eastAsia="Times New Roman" w:hAnsi="Times New Roman"/>
                <w:b w:val="false"/>
                <w:bCs w:val="false"/>
                <w:color w:val="000000"/>
                <w:sz w:val="20"/>
                <w:szCs w:val="20"/>
              </w:rPr>
              <w:t xml:space="preserve">Current investment intensity</w:t>
            </w:r>
          </w:p>
        </w:tc>
        <w:tc>
          <w:tcPr>
            <w:tcW w:type="dxa" w:w="3250"/>
            <w:vAlign w:val="center"/>
          </w:tcPr>
          <w:p>
            <w:r>
              <w:rPr>
                <w:rFonts w:ascii="Times New Roman" w:cs="Times New Roman" w:eastAsia="Times New Roman" w:hAnsi="Times New Roman"/>
                <w:b w:val="false"/>
                <w:bCs w:val="false"/>
                <w:color w:val="000000"/>
                <w:sz w:val="20"/>
                <w:szCs w:val="20"/>
              </w:rPr>
              <w:t xml:space="preserve">71-building dataset, predominantly Johor/Selangor/Cyberjaya corridors, phased multi-operator development.</w:t>
            </w:r>
          </w:p>
        </w:tc>
        <w:tc>
          <w:tcPr>
            <w:tcW w:type="dxa" w:w="3250"/>
            <w:vAlign w:val="center"/>
          </w:tcPr>
          <w:p>
            <w:r>
              <w:rPr>
                <w:rFonts w:ascii="Times New Roman" w:cs="Times New Roman" w:eastAsia="Times New Roman" w:hAnsi="Times New Roman"/>
                <w:b w:val="false"/>
                <w:bCs w:val="false"/>
                <w:color w:val="000000"/>
                <w:sz w:val="20"/>
                <w:szCs w:val="20"/>
              </w:rPr>
              <w:t xml:space="preserve">Concentrated large single-project investment (Batam, 360 MW, single anchor tenant) alongside a broader but less visible base of smaller facilities.</w:t>
            </w:r>
          </w:p>
        </w:tc>
      </w:tr>
    </w:tbl>
    <w:p>
      <w:pPr>
        <w:spacing w:after="140"/>
        <w:jc w:val="both"/>
      </w:pPr>
      <w:r>
        <w:rPr>
          <w:rFonts w:ascii="Times New Roman" w:cs="Times New Roman" w:eastAsia="Times New Roman" w:hAnsi="Times New Roman"/>
          <w:b w:val="false"/>
          <w:bCs w:val="false"/>
          <w:i w:val="false"/>
          <w:iCs w:val="false"/>
          <w:sz w:val="22"/>
          <w:szCs w:val="22"/>
        </w:rPr>
        <w:t xml:space="preserve">The comparison suggests the cumulative-impact blind spot this project documents and quantifies for Malaysia is a structural feature of area/scale-based environmental review design generally, present in Indonesia's regulatory architecture in the same form, rather than a Malaysia-specific gap. Whether it is currently being exploited, deliberately or not, at the same scale in Indonesia is a separate empirical question this desk review cannot answer without the same facility-level, corridor-clustered analysis this project applied to Malaysia. The clearest difference the current investment wave presents is scale concentration: Indonesia's headline projects to date appear to be large, single-parcel, single-anchor-tenant campuses more likely to individually cross an area-based AMDAL threshold, in contrast to Malaysia's more numerous, smaller, and more fragmented facility parcels, which is precisely the pattern that makes cumulative-impact aggregation review necessary rather than merely theoretical.</w:t>
      </w:r>
    </w:p>
    <w:p>
      <w:pPr>
        <w:spacing w:after="140" w:before="280"/>
      </w:pPr>
      <w:r>
        <w:rPr>
          <w:rFonts w:ascii="Times New Roman" w:cs="Times New Roman" w:eastAsia="Times New Roman" w:hAnsi="Times New Roman"/>
          <w:b/>
          <w:bCs/>
          <w:sz w:val="26"/>
          <w:szCs w:val="26"/>
        </w:rPr>
        <w:t xml:space="preserve">8. Limitations</w:t>
      </w:r>
    </w:p>
    <w:p>
      <w:pPr>
        <w:pStyle w:val="ListParagraph"/>
        <w:numPr>
          <w:ilvl w:val="0"/>
          <w:numId w:val="2"/>
        </w:numPr>
        <w:spacing w:after="60"/>
      </w:pPr>
      <w:r>
        <w:rPr>
          <w:rFonts w:ascii="Times New Roman" w:cs="Times New Roman" w:eastAsia="Times New Roman" w:hAnsi="Times New Roman"/>
          <w:sz w:val="22"/>
          <w:szCs w:val="22"/>
        </w:rPr>
        <w:t xml:space="preserve">This is a desk-based regulatory comparison, not a facility-level or satellite-based measurement exercise; no Indonesian equivalent of the Malaysian 71-building dataset, CV detection pipeline, or GFW deforestation rollout was constructed for this review, and none is in scope under the current subgrant.</w:t>
      </w:r>
    </w:p>
    <w:p>
      <w:pPr>
        <w:pStyle w:val="ListParagraph"/>
        <w:numPr>
          <w:ilvl w:val="0"/>
          <w:numId w:val="2"/>
        </w:numPr>
        <w:spacing w:after="60"/>
      </w:pPr>
      <w:r>
        <w:rPr>
          <w:rFonts w:ascii="Times New Roman" w:cs="Times New Roman" w:eastAsia="Times New Roman" w:hAnsi="Times New Roman"/>
          <w:sz w:val="22"/>
          <w:szCs w:val="22"/>
        </w:rPr>
        <w:t xml:space="preserve">Several specific figures, the exact Permen LHK 4/2021 threshold (if any) applicable to computing-infrastructure facilities, and the current financial-sector data-localisation regulation number, are flagged as PLACEHOLDER pending verification against primary regulatory text and should not be cited externally without that verification.</w:t>
      </w:r>
    </w:p>
    <w:p>
      <w:pPr>
        <w:pStyle w:val="ListParagraph"/>
        <w:numPr>
          <w:ilvl w:val="0"/>
          <w:numId w:val="2"/>
        </w:numPr>
        <w:spacing w:after="60"/>
      </w:pPr>
      <w:r>
        <w:rPr>
          <w:rFonts w:ascii="Times New Roman" w:cs="Times New Roman" w:eastAsia="Times New Roman" w:hAnsi="Times New Roman"/>
          <w:sz w:val="22"/>
          <w:szCs w:val="22"/>
        </w:rPr>
        <w:t xml:space="preserve">The Batam case study describes a single, unusually large, and unusually well-publicised project; it may not be representative of the broader Indonesian data centre sector's typical facility size, siting pattern, or regulatory treatment.</w:t>
      </w:r>
    </w:p>
    <w:p>
      <w:pPr>
        <w:pStyle w:val="ListParagraph"/>
        <w:numPr>
          <w:ilvl w:val="0"/>
          <w:numId w:val="2"/>
        </w:numPr>
        <w:spacing w:after="60"/>
      </w:pPr>
      <w:r>
        <w:rPr>
          <w:rFonts w:ascii="Times New Roman" w:cs="Times New Roman" w:eastAsia="Times New Roman" w:hAnsi="Times New Roman"/>
          <w:sz w:val="22"/>
          <w:szCs w:val="22"/>
        </w:rPr>
        <w:t xml:space="preserve">This review does not assess Indonesian Hansard-equivalent legislative records (DPR RI plenary and commission proceedings) for the same land-clearing/deforestation silence test applied to the Malaysian Hansard corpus in the full methodology's Section 7; that would be a natural next step if this comparative review were extended into a full second measurement site.</w:t>
      </w:r>
    </w:p>
    <w:p>
      <w:pPr>
        <w:spacing w:after="140" w:before="280"/>
      </w:pPr>
      <w:r>
        <w:rPr>
          <w:rFonts w:ascii="Times New Roman" w:cs="Times New Roman" w:eastAsia="Times New Roman" w:hAnsi="Times New Roman"/>
          <w:b/>
          <w:bCs/>
          <w:sz w:val="26"/>
          <w:szCs w:val="26"/>
        </w:rPr>
        <w:t xml:space="preserve">Note on Sources</w:t>
      </w:r>
    </w:p>
    <w:p>
      <w:pPr>
        <w:spacing w:after="140"/>
        <w:jc w:val="both"/>
      </w:pPr>
      <w:r>
        <w:rPr>
          <w:rFonts w:ascii="Times New Roman" w:cs="Times New Roman" w:eastAsia="Times New Roman" w:hAnsi="Times New Roman"/>
          <w:b w:val="false"/>
          <w:bCs w:val="false"/>
          <w:i w:val="false"/>
          <w:iCs w:val="false"/>
          <w:sz w:val="22"/>
          <w:szCs w:val="22"/>
        </w:rPr>
        <w:t xml:space="preserve">This review draws on Indonesian government regulations (GR 71/2019, PP 22/2021, Permen LHK 4/2021, UU PDP Law 27/2022) as described in licensed-practice guidance, law firm client alerts, and OSS/KBLI reference resources, together with contemporaneous reporting (June-July 2026) on the Firmus/Nvidia Batam project. Primary regulatory texts were not independently retrieved and reviewed in full for this desk review in the way the Malaysian federal and state instruments were reviewed for the full methodology's Section 6; this is a known limitation and a candidate area for follow-up verification before any figure in this review is relied upon in a publication-facing output.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2026-08-20T10:08:23.268Z</dcterms:created>
  <dcterms:modified xsi:type="dcterms:W3CDTF">2026-08-20T10:08:23.268Z</dcterms:modified>
</cp:coreProperties>
</file>

<file path=docProps/custom.xml><?xml version="1.0" encoding="utf-8"?>
<Properties xmlns="http://schemas.openxmlformats.org/officeDocument/2006/custom-properties" xmlns:vt="http://schemas.openxmlformats.org/officeDocument/2006/docPropsVTypes"/>
</file>