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jc w:val="center"/>
      </w:pPr>
      <w:r>
        <w:rPr>
          <w:rFonts w:ascii="Times New Roman" w:cs="Times New Roman" w:eastAsia="Times New Roman" w:hAnsi="Times New Roman"/>
          <w:b/>
          <w:bCs/>
          <w:sz w:val="30"/>
          <w:szCs w:val="30"/>
        </w:rPr>
        <w:t xml:space="preserve">Vintage Capital Heterogeneity, Aggregation Bias, and Hidden Natural Capital Loss: A Natural Resource Economics Account of Data Centre Expansion in Malaysia</w:t>
      </w:r>
    </w:p>
    <w:p>
      <w:pPr>
        <w:spacing w:after="60"/>
        <w:jc w:val="center"/>
      </w:pPr>
      <w:r>
        <w:rPr>
          <w:rFonts w:ascii="Times New Roman" w:cs="Times New Roman" w:eastAsia="Times New Roman" w:hAnsi="Times New Roman"/>
          <w:i/>
          <w:iCs/>
          <w:sz w:val="22"/>
          <w:szCs w:val="22"/>
        </w:rPr>
        <w:t xml:space="preserve">[Author name(s) redacted for draft], [Affiliation placeholder]</w:t>
      </w:r>
    </w:p>
    <w:p>
      <w:pPr>
        <w:spacing w:after="240"/>
        <w:jc w:val="center"/>
      </w:pPr>
      <w:r>
        <w:rPr>
          <w:rFonts w:ascii="Times New Roman" w:cs="Times New Roman" w:eastAsia="Times New Roman" w:hAnsi="Times New Roman"/>
          <w:i/>
          <w:iCs/>
          <w:sz w:val="20"/>
          <w:szCs w:val="20"/>
        </w:rPr>
        <w:t xml:space="preserve">Manuscript prepared for peer-reviewed submission. DRAFT, not yet submitted. See the Suggested Venues section below.</w:t>
      </w:r>
    </w:p>
    <w:p>
      <w:pPr>
        <w:spacing w:after="140" w:before="280"/>
      </w:pPr>
      <w:r>
        <w:rPr>
          <w:rFonts w:ascii="Times New Roman" w:cs="Times New Roman" w:eastAsia="Times New Roman" w:hAnsi="Times New Roman"/>
          <w:b/>
          <w:bCs/>
          <w:sz w:val="26"/>
          <w:szCs w:val="26"/>
        </w:rPr>
        <w:t xml:space="preserve">Abstract</w:t>
      </w:r>
    </w:p>
    <w:p>
      <w:pPr>
        <w:spacing w:after="140"/>
        <w:jc w:val="both"/>
      </w:pPr>
      <w:r>
        <w:rPr>
          <w:rFonts w:ascii="Times New Roman" w:cs="Times New Roman" w:eastAsia="Times New Roman" w:hAnsi="Times New Roman"/>
          <w:b w:val="false"/>
          <w:bCs w:val="false"/>
          <w:i w:val="false"/>
          <w:iCs w:val="false"/>
          <w:sz w:val="22"/>
          <w:szCs w:val="22"/>
        </w:rPr>
        <w:t xml:space="preserve">Malaysia's data centre sector has attracted RM280 billion in pledged investment since 2021, of which RM131 billion (47%) had been realised as of May 2026, yet the physical resource footprint of individual facilities, and the natural capital consumed in siting them, remain largely undisclosed and outside the scope of existing environmental review. This paper uses a satellite-derived, deduplicated dataset of 71 Malaysian data centre buildings, independently manually verified against three separate sources following an initial automated pass, to make two arguments. First, we show that a single area-to-power coefficient cannot describe this sector's capital stock: an automated coefficient comparison against disclosed capacity initially suggested a spread exceeding two orders of magnitude, but closer manual verification found that most of the facilities that comparison relied on could not be confidently located in available imagery at all, a stronger and more general finding than the original numeric spread, since it demonstrates that the sector's opacity extends to whether a facility's physical existence and location can be confirmed from public information, not only to how its capacity should be modelled. We argue this is not a measurement artefact but an instance of vintage capital heterogeneity and aggregation bias, well-established problems in the natural resource and industrial ecology literature, compounded by a verification gap that has not previously been documented for the data centre asset class. Second, using a pilot land-cover change analysis of one facility corridor, we show that individually sub-threshold facility parcels can produce a corridor-level land-use impact that never triggers environmental review under Malaysia's hectare-based Environmental Impact Assessment thresholds, and that this externality is entirely absent from the legislative record we searched. We situate both findings within a natural capital accounting framework and argue that facility-level, SEEA-consistent disclosure is a precondition for any credible national accounting of the sector's resource and environmental footprint.</w:t>
      </w:r>
    </w:p>
    <w:p>
      <w:pPr>
        <w:spacing w:after="140" w:before="280"/>
      </w:pPr>
      <w:r>
        <w:rPr>
          <w:rFonts w:ascii="Times New Roman" w:cs="Times New Roman" w:eastAsia="Times New Roman" w:hAnsi="Times New Roman"/>
          <w:b/>
          <w:bCs/>
          <w:sz w:val="26"/>
          <w:szCs w:val="26"/>
        </w:rPr>
        <w:t xml:space="preserve">I. Introduction</w:t>
      </w:r>
    </w:p>
    <w:p>
      <w:pPr>
        <w:spacing w:after="140"/>
        <w:jc w:val="both"/>
      </w:pPr>
      <w:r>
        <w:rPr>
          <w:rFonts w:ascii="Times New Roman" w:cs="Times New Roman" w:eastAsia="Times New Roman" w:hAnsi="Times New Roman"/>
          <w:b w:val="false"/>
          <w:bCs w:val="false"/>
          <w:i w:val="false"/>
          <w:iCs w:val="false"/>
          <w:sz w:val="22"/>
          <w:szCs w:val="22"/>
        </w:rPr>
        <w:t xml:space="preserve">Public discussion of data centre expansion in Malaysia has, to date, been dominated by investment figures: pledged capital, jobs, and gross domestic product contribution. What is largely absent is a resource account, an estimate of the electricity, water, land, and natural capital that this investment consumes, disaggregated at a level fine enough to be useful for planning, regulation, or public accountability. This gap exists by design in one sense: operators frequently do not disclose facility-level power or water consumption, citing commercial confidentiality or national security. But it also exists because the tools available to third parties for estimating these figures independently, principally satellite-derived footprint measurement, are not neutral instruments; they carry their own systematic biases, and this paper is in large part an account of what those biases are and why they matter economically, not just technically.</w:t>
      </w:r>
    </w:p>
    <w:p>
      <w:pPr>
        <w:spacing w:after="140"/>
        <w:jc w:val="both"/>
      </w:pPr>
      <w:r>
        <w:rPr>
          <w:rFonts w:ascii="Times New Roman" w:cs="Times New Roman" w:eastAsia="Times New Roman" w:hAnsi="Times New Roman"/>
          <w:b w:val="false"/>
          <w:bCs w:val="false"/>
          <w:i w:val="false"/>
          <w:iCs w:val="false"/>
          <w:sz w:val="22"/>
          <w:szCs w:val="22"/>
        </w:rPr>
        <w:t xml:space="preserve">We build on a companion technical paper [PLACEHOLDER: cross-reference to GRSL manuscript] that documents the satellite computer-vision pipeline used to detect and measure 124 candidate facilities, reduced after deduplication to 71 physical buildings. That paper treats the pipeline's coefficient-calibration failure as a detection-to-estimation boundary finding. This paper takes that same empirical result and asks a different question: what does it mean, economically, that a uniform engineering coefficient cannot describe this capital stock, and what does that imply for how the sector's resource and environmental footprint should be measured and governed.</w:t>
      </w:r>
    </w:p>
    <w:p>
      <w:pPr>
        <w:spacing w:after="140" w:before="280"/>
      </w:pPr>
      <w:r>
        <w:rPr>
          <w:rFonts w:ascii="Times New Roman" w:cs="Times New Roman" w:eastAsia="Times New Roman" w:hAnsi="Times New Roman"/>
          <w:b/>
          <w:bCs/>
          <w:sz w:val="26"/>
          <w:szCs w:val="26"/>
        </w:rPr>
        <w:t xml:space="preserve">II. Theoretical Framework</w:t>
      </w:r>
    </w:p>
    <w:p>
      <w:pPr>
        <w:spacing w:after="110" w:before="220"/>
      </w:pPr>
      <w:r>
        <w:rPr>
          <w:rFonts w:ascii="Times New Roman" w:cs="Times New Roman" w:eastAsia="Times New Roman" w:hAnsi="Times New Roman"/>
          <w:b/>
          <w:bCs/>
          <w:sz w:val="24"/>
          <w:szCs w:val="24"/>
        </w:rPr>
        <w:t xml:space="preserve">A. Vintage capital heterogeneity</w:t>
      </w:r>
    </w:p>
    <w:p>
      <w:pPr>
        <w:spacing w:after="140"/>
        <w:jc w:val="both"/>
      </w:pPr>
      <w:r>
        <w:rPr>
          <w:rFonts w:ascii="Times New Roman" w:cs="Times New Roman" w:eastAsia="Times New Roman" w:hAnsi="Times New Roman"/>
          <w:b w:val="false"/>
          <w:bCs w:val="false"/>
          <w:i w:val="false"/>
          <w:iCs w:val="false"/>
          <w:sz w:val="22"/>
          <w:szCs w:val="22"/>
        </w:rPr>
        <w:t xml:space="preserve">Solow's putty-clay framework [PLACEHOLDER: cite Solow 1962] distinguishes capital that is malleable before installation ("putty") from capital whose input-output ratios are fixed once installed ("clay"). Data centres are a clean example of clay capital at the facility level: a given building's power density is fixed by its cooling architecture, rack density, and generation of IT hardware at the time of fit-out, and does not adjust smoothly with age or utilisation the way a textbook aggregate production function would imply. A portfolio of data centres built across a decade or more, spanning low-density colocation halls and high-density liquid-cooled AI clusters, is therefore not a single homogeneous capital stock with one representative input-output ratio; it is a vintage-heterogeneous stock in which each cohort's technical coefficients are fixed at construction and diverge sharply from other cohorts'. The verification failure documented in Section IV, that most of the facilities available for a disclosed-capacity comparison could not be confidently located at all under independent manual review, is consistent with this: a sector whose capital stock genuinely varies this much by vintage and design is also a sector where no single facility can be assumed representative, and where confirming any individual facility's basic physical characteristics requires direct verification rather than inference from an aggregate benchmark.</w:t>
      </w:r>
    </w:p>
    <w:p>
      <w:pPr>
        <w:spacing w:after="110" w:before="220"/>
      </w:pPr>
      <w:r>
        <w:rPr>
          <w:rFonts w:ascii="Times New Roman" w:cs="Times New Roman" w:eastAsia="Times New Roman" w:hAnsi="Times New Roman"/>
          <w:b/>
          <w:bCs/>
          <w:sz w:val="24"/>
          <w:szCs w:val="24"/>
        </w:rPr>
        <w:t xml:space="preserve">B. Aggregation bias in physical accounting</w:t>
      </w:r>
    </w:p>
    <w:p>
      <w:pPr>
        <w:spacing w:after="140"/>
        <w:jc w:val="both"/>
      </w:pPr>
      <w:r>
        <w:rPr>
          <w:rFonts w:ascii="Times New Roman" w:cs="Times New Roman" w:eastAsia="Times New Roman" w:hAnsi="Times New Roman"/>
          <w:b w:val="false"/>
          <w:bCs w:val="false"/>
          <w:i w:val="false"/>
          <w:iCs w:val="false"/>
          <w:sz w:val="22"/>
          <w:szCs w:val="22"/>
        </w:rPr>
        <w:t xml:space="preserve">The industrial ecology and material flow accounting literature has long documented that physical input-output coefficients estimated at an aggregate or sectoral level do not, in general, recover the true facility-level relationship when applied back down to individual units [PLACEHOLDER: cite Ayres and Kneese 1969; Fischer-Kowalski 1998]. This is a general property of heterogeneous-technology aggregation, not a defect specific to any one study's methodology. Applying a single published "kW per square metre" benchmark, itself already an aggregate figure drawn from industry guidance rather than a facility-specific measurement, to a structurally heterogeneous portfolio reproduces exactly this aggregation bias. We treat the coefficient-calibration failure documented in the companion technical paper as an empirical instance of this general phenomenon, observed directly against disclosed ground truth rather than inferred indirectly.</w:t>
      </w:r>
    </w:p>
    <w:p>
      <w:pPr>
        <w:spacing w:after="110" w:before="220"/>
      </w:pPr>
      <w:r>
        <w:rPr>
          <w:rFonts w:ascii="Times New Roman" w:cs="Times New Roman" w:eastAsia="Times New Roman" w:hAnsi="Times New Roman"/>
          <w:b/>
          <w:bCs/>
          <w:sz w:val="24"/>
          <w:szCs w:val="24"/>
        </w:rPr>
        <w:t xml:space="preserve">C. Natural capital accounting and non-market valuation</w:t>
      </w:r>
    </w:p>
    <w:p>
      <w:pPr>
        <w:spacing w:after="140"/>
        <w:jc w:val="both"/>
      </w:pPr>
      <w:r>
        <w:rPr>
          <w:rFonts w:ascii="Times New Roman" w:cs="Times New Roman" w:eastAsia="Times New Roman" w:hAnsi="Times New Roman"/>
          <w:b w:val="false"/>
          <w:bCs w:val="false"/>
          <w:i w:val="false"/>
          <w:iCs w:val="false"/>
          <w:sz w:val="22"/>
          <w:szCs w:val="22"/>
        </w:rPr>
        <w:t xml:space="preserve">The UN System of Environmental-Economic Accounting (SEEA) Central Framework [PLACEHOLDER: cite UN SEEA 2012] provides the standard structure for integrating natural capital stocks and flows, energy, water, land, ecosystem assets, into national accounts alongside conventional produced capital. A precondition for any SEEA-consistent account of the data centre sector is facility-level physical data of the kind this project attempts to estimate independently precisely because it is not disclosed. Where such data is unavailable, natural capital consumption becomes a form of information asymmetry in the sense familiar from non-market valuation theory: the resource is consumed, and its value or cost is real, but it is not priced or visible in any market or public account, and absent independent estimation of the kind attempted here, it is not measured at all [PLACEHOLDER: cite Rosen 1974 on hedonic valuation as a general framework for pricing non-market attributes]. The land-cover change externality discussed in Section V is a further instance of this same asymmetry, applied to land rather than energy or water.</w:t>
      </w:r>
    </w:p>
    <w:p>
      <w:pPr>
        <w:spacing w:after="140" w:before="280"/>
      </w:pPr>
      <w:r>
        <w:rPr>
          <w:rFonts w:ascii="Times New Roman" w:cs="Times New Roman" w:eastAsia="Times New Roman" w:hAnsi="Times New Roman"/>
          <w:b/>
          <w:bCs/>
          <w:sz w:val="26"/>
          <w:szCs w:val="26"/>
        </w:rPr>
        <w:t xml:space="preserve">III. Data</w:t>
      </w:r>
    </w:p>
    <w:p>
      <w:pPr>
        <w:spacing w:after="140"/>
        <w:jc w:val="both"/>
      </w:pPr>
      <w:r>
        <w:rPr>
          <w:rFonts w:ascii="Times New Roman" w:cs="Times New Roman" w:eastAsia="Times New Roman" w:hAnsi="Times New Roman"/>
          <w:b w:val="false"/>
          <w:bCs w:val="false"/>
          <w:i w:val="false"/>
          <w:iCs w:val="false"/>
          <w:sz w:val="22"/>
          <w:szCs w:val="22"/>
        </w:rPr>
        <w:t xml:space="preserve">The dataset is the 71-building deduplicated facility set described in the companion technical methodology, comprising 8 buildings with operator-disclosed MW capacity and 63 buildings with CV-detected footprint area only. Of these, 49 are included in the resource-estimation aggregate (7 disclosed, 42 modelled); 22 are excluded: 3, found through independent verification passes described in the companion methodology, whose coordinates resolved outside Malaysia (Digital Halo JHB1 to the Philippines; STT Johor 1 and Empyrion Digital MY1, a single corridor, to Singapore), and 19 following a subsequent independent manual review of every facility the automated detector had flagged as uncertain, which found no confident building visible in the available imagery even by eye. STT Johor 1 was one of the 8 disclosed-capacity buildings, so its exclusion reduces the disclosed count in the aggregate from 8 to 7. Footprint area for the 42 included modelled facilities is now computed from the detector's polygon contour rather than its bounding box, a correction that reduced average measured area by roughly half; see the companion methodology, Section 5.4, for the full comparison. The full land-cover change dataset, described in Section V, now covers 16 valid facility corridors spanning 68 of the 71 buildings.</w:t>
      </w:r>
    </w:p>
    <w:p>
      <w:pPr>
        <w:spacing w:after="140" w:before="280"/>
      </w:pPr>
      <w:r>
        <w:rPr>
          <w:rFonts w:ascii="Times New Roman" w:cs="Times New Roman" w:eastAsia="Times New Roman" w:hAnsi="Times New Roman"/>
          <w:b/>
          <w:bCs/>
          <w:sz w:val="26"/>
          <w:szCs w:val="26"/>
        </w:rPr>
        <w:t xml:space="preserve">IV. Vintage Heterogeneity and Aggregation Bias: Empirical Evidence</w:t>
      </w:r>
    </w:p>
    <w:p>
      <w:pPr>
        <w:spacing w:after="140"/>
        <w:jc w:val="both"/>
      </w:pPr>
      <w:r>
        <w:rPr>
          <w:rFonts w:ascii="Times New Roman" w:cs="Times New Roman" w:eastAsia="Times New Roman" w:hAnsi="Times New Roman"/>
          <w:b w:val="false"/>
          <w:bCs w:val="false"/>
          <w:i w:val="false"/>
          <w:iCs w:val="false"/>
          <w:sz w:val="22"/>
          <w:szCs w:val="22"/>
        </w:rPr>
        <w:t xml:space="preserve">The strongest evidence for this paper's central claim turned out not to be a numeric coefficient spread, but a verification failure. An initial automated pass applied the published coefficient (1.5 kW/m² power density, PUE 1.4) to CV-detected footprint area across the 8 operator-disclosed-capacity facilities and compared the implied power density against each facility's actual disclosed capacity; that comparison suggested a spread exceeding two orders of magnitude. Before treating that spread as evidence, however, we subjected every uncertain detection in the full 71-building dataset to independent manual review: a second researcher examined each flagged facility's satellite imagery directly, cross-checked against Data Center Map, Google Maps, and Google Earth, and traced a corrected footprint by hand or recorded that no confident building could be identified at all. That review found that seven of the eight facilities the original coefficient comparison relied on, precisely the ground-truth sample the spread was computed against, could not be confidently located in the available imagery even by a trained human reviewer, most often because the geocoded coordinate resolved to a neighbouring building, a corporate office rather than a data hall, or a construction-era image that predates the completed facility.</w:t>
      </w:r>
    </w:p>
    <w:p>
      <w:pPr>
        <w:spacing w:after="140"/>
        <w:jc w:val="both"/>
      </w:pPr>
      <w:r>
        <w:rPr>
          <w:rFonts w:ascii="Times New Roman" w:cs="Times New Roman" w:eastAsia="Times New Roman" w:hAnsi="Times New Roman"/>
          <w:b w:val="false"/>
          <w:bCs w:val="false"/>
          <w:i w:val="false"/>
          <w:iCs w:val="false"/>
          <w:sz w:val="22"/>
          <w:szCs w:val="22"/>
        </w:rPr>
        <w:t xml:space="preserve">We treat this as the stronger finding, not a weaker one. A numeric density spread computed from detections that later turn out to be unreliable would be a fragile empirical anchor for this paper's argument; a documented failure to verify facility identity even under close manual scrutiny, applied consistently across the full dataset rather than a convenience sample of eight, is a harder claim to dismiss. It also generalises the argument: the problem is not only that one coefficient cannot describe a heterogeneous capital stock (Section II still holds on theoretical grounds independent of this specific comparison), but that the sector's opacity extends to whether a given facility's physical existence and location can be confirmed at all from public information, a precondition for any resource accounting exercise, coefficient-based or otherwise.</w:t>
      </w:r>
    </w:p>
    <w:p>
      <w:pPr>
        <w:spacing w:after="140"/>
        <w:jc w:val="both"/>
      </w:pPr>
      <w:r>
        <w:rPr>
          <w:rFonts w:ascii="Times New Roman" w:cs="Times New Roman" w:eastAsia="Times New Roman" w:hAnsi="Times New Roman"/>
          <w:b w:val="false"/>
          <w:bCs w:val="false"/>
          <w:i w:val="false"/>
          <w:iCs w:val="false"/>
          <w:sz w:val="22"/>
          <w:szCs w:val="22"/>
        </w:rPr>
        <w:t xml:space="preserve">Across the full dataset, of 63 buildings without disclosed capacity, 19 were excluded from the resource-estimation aggregate on this basis following manual review, in addition to 3 buildings (2 without disclosed capacity, 1 with) whose coordinates were independently verified to resolve outside Malaysia entirely. An initial full-portfolio aggregate using the uniform coefficient before any of this verification work produced an implied national energy consumption equivalent to roughly one fifth to one third of Malaysia's total grid generation, a result we considered implausible on its face and the original prompt for the verification pass described above. After deduplication (which alone reduced the aggregate by approximately 31%), separating disclosed from modelled facilities, correcting footprint area from bounding-box to actual polygon contour (Section 5.4 of the companion methodology), and excluding all facilities that could not be independently verified, the combined estimate for 49 included buildings (7 disclosed, 42 modelled) is approximately 1,881.6 MW of facility power (1,316.0 MW disclosed, 565.6 MW modelled) and approximately 16,482.4 GWh of annual energy, around 10.6% of Peninsular Malaysia's estimated annual grid generation. We treat this as a conservative order-of-magnitude planning estimate for the included, verified portfolio, not a precise national account: the true figure is almost certainly higher, since it excludes every facility this project could not confidently verify rather than assigning them an unreliable modelled value. The appropriate response, we argue, is not a better single coefficient but facility-level disclosure sufficient to build a SEEA-consistent account directly from ground truth.</w:t>
      </w:r>
    </w:p>
    <w:p>
      <w:pPr>
        <w:spacing w:after="140" w:before="280"/>
      </w:pPr>
      <w:r>
        <w:rPr>
          <w:rFonts w:ascii="Times New Roman" w:cs="Times New Roman" w:eastAsia="Times New Roman" w:hAnsi="Times New Roman"/>
          <w:b/>
          <w:bCs/>
          <w:sz w:val="26"/>
          <w:szCs w:val="26"/>
        </w:rPr>
        <w:t xml:space="preserve">V. Land-Cover Change as a Further Unpriced Externality</w:t>
      </w:r>
    </w:p>
    <w:p>
      <w:pPr>
        <w:spacing w:after="140"/>
        <w:jc w:val="both"/>
      </w:pPr>
      <w:r>
        <w:rPr>
          <w:rFonts w:ascii="Times New Roman" w:cs="Times New Roman" w:eastAsia="Times New Roman" w:hAnsi="Times New Roman"/>
          <w:b w:val="false"/>
          <w:bCs w:val="false"/>
          <w:i w:val="false"/>
          <w:iCs w:val="false"/>
          <w:sz w:val="22"/>
          <w:szCs w:val="22"/>
        </w:rPr>
        <w:t xml:space="preserve">The pilot analysis on the Sedenak facility corridor (Section V, prior draft) has been extended to the full 71-building dataset. Facilities were grouped by single-linkage geographic clustering (8 km threshold) into 18 corridors, each analysed as a Hansen Global Forest Change area of interest via Global Forest Watch. One corridor (STT Johor 1 / Empyrion Digital MY1) returned a marine area of interest centred on Marina Bay, Singapore, rather than a terrestrial Johor location; this is a second independent geocoding failure alongside Digital Halo JHB1 (Section III of the companion methodology) and is excluded from the aggregate below and flagged for re-geocoding. A further corridor (Digital Halo JHB1 itself) was excluded from clustering as already confirmed out-of-country. The remaining 16 valid corridors, covering 68 of the 71 buildings, are summarised in Table 2.</w:t>
      </w:r>
    </w:p>
    <w:p>
      <w:pPr>
        <w:spacing w:after="100" w:before="60"/>
      </w:pPr>
      <w:r>
        <w:rPr>
          <w:rFonts w:ascii="Times New Roman" w:cs="Times New Roman" w:eastAsia="Times New Roman" w:hAnsi="Times New Roman"/>
          <w:i/>
          <w:iCs/>
          <w:sz w:val="20"/>
          <w:szCs w:val="20"/>
        </w:rPr>
        <w:t xml:space="preserve">Table 2. Tree cover loss by facility corridor, Hansen Global Forest Change, 2001–2025.</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600"/>
        <w:gridCol w:w="1600"/>
        <w:gridCol w:w="2000"/>
      </w:tblGrid>
      <w:tr>
        <w:tc>
          <w:tcPr>
            <w:tcW w:type="dxa" w:w="2600"/>
            <w:shd w:fill="1F3864" w:val="clear"/>
            <w:vAlign w:val="center"/>
          </w:tcPr>
          <w:p>
            <w:r>
              <w:rPr>
                <w:rFonts w:ascii="Times New Roman" w:cs="Times New Roman" w:eastAsia="Times New Roman" w:hAnsi="Times New Roman"/>
                <w:b/>
                <w:bCs/>
                <w:color w:val="FFFFFF"/>
                <w:sz w:val="20"/>
                <w:szCs w:val="20"/>
              </w:rPr>
              <w:t xml:space="preserve">Corridor</w:t>
            </w:r>
          </w:p>
        </w:tc>
        <w:tc>
          <w:tcPr>
            <w:tcW w:type="dxa" w:w="1400"/>
            <w:shd w:fill="1F3864" w:val="clear"/>
            <w:vAlign w:val="center"/>
          </w:tcPr>
          <w:p>
            <w:r>
              <w:rPr>
                <w:rFonts w:ascii="Times New Roman" w:cs="Times New Roman" w:eastAsia="Times New Roman" w:hAnsi="Times New Roman"/>
                <w:b/>
                <w:bCs/>
                <w:color w:val="FFFFFF"/>
                <w:sz w:val="20"/>
                <w:szCs w:val="20"/>
              </w:rPr>
              <w:t xml:space="preserve">Buildings</w:t>
            </w:r>
          </w:p>
        </w:tc>
        <w:tc>
          <w:tcPr>
            <w:tcW w:type="dxa" w:w="1600"/>
            <w:shd w:fill="1F3864" w:val="clear"/>
            <w:vAlign w:val="center"/>
          </w:tcPr>
          <w:p>
            <w:r>
              <w:rPr>
                <w:rFonts w:ascii="Times New Roman" w:cs="Times New Roman" w:eastAsia="Times New Roman" w:hAnsi="Times New Roman"/>
                <w:b/>
                <w:bCs/>
                <w:color w:val="FFFFFF"/>
                <w:sz w:val="20"/>
                <w:szCs w:val="20"/>
              </w:rPr>
              <w:t xml:space="preserve">AOI (ha)</w:t>
            </w:r>
          </w:p>
        </w:tc>
        <w:tc>
          <w:tcPr>
            <w:tcW w:type="dxa" w:w="1600"/>
            <w:shd w:fill="1F3864" w:val="clear"/>
            <w:vAlign w:val="center"/>
          </w:tcPr>
          <w:p>
            <w:r>
              <w:rPr>
                <w:rFonts w:ascii="Times New Roman" w:cs="Times New Roman" w:eastAsia="Times New Roman" w:hAnsi="Times New Roman"/>
                <w:b/>
                <w:bCs/>
                <w:color w:val="FFFFFF"/>
                <w:sz w:val="20"/>
                <w:szCs w:val="20"/>
              </w:rPr>
              <w:t xml:space="preserve">Loss (ha)</w:t>
            </w:r>
          </w:p>
        </w:tc>
        <w:tc>
          <w:tcPr>
            <w:tcW w:type="dxa" w:w="2000"/>
            <w:shd w:fill="1F3864" w:val="clear"/>
            <w:vAlign w:val="center"/>
          </w:tcPr>
          <w:p>
            <w:r>
              <w:rPr>
                <w:rFonts w:ascii="Times New Roman" w:cs="Times New Roman" w:eastAsia="Times New Roman" w:hAnsi="Times New Roman"/>
                <w:b/>
                <w:bCs/>
                <w:color w:val="FFFFFF"/>
                <w:sz w:val="20"/>
                <w:szCs w:val="20"/>
              </w:rPr>
              <w:t xml:space="preserve">Loss (% of 2000 baseline)</w:t>
            </w:r>
          </w:p>
        </w:tc>
      </w:tr>
      <w:tr>
        <w:tc>
          <w:tcPr>
            <w:tcW w:type="dxa" w:w="2600"/>
            <w:vAlign w:val="center"/>
          </w:tcPr>
          <w:p>
            <w:r>
              <w:rPr>
                <w:rFonts w:ascii="Times New Roman" w:cs="Times New Roman" w:eastAsia="Times New Roman" w:hAnsi="Times New Roman"/>
                <w:b w:val="false"/>
                <w:bCs w:val="false"/>
                <w:color w:val="000000"/>
                <w:sz w:val="20"/>
                <w:szCs w:val="20"/>
              </w:rPr>
              <w:t xml:space="preserve">Cyberjaya</w:t>
            </w:r>
          </w:p>
        </w:tc>
        <w:tc>
          <w:tcPr>
            <w:tcW w:type="dxa" w:w="1400"/>
            <w:vAlign w:val="center"/>
          </w:tcPr>
          <w:p>
            <w:r>
              <w:rPr>
                <w:rFonts w:ascii="Times New Roman" w:cs="Times New Roman" w:eastAsia="Times New Roman" w:hAnsi="Times New Roman"/>
                <w:b w:val="false"/>
                <w:bCs w:val="false"/>
                <w:color w:val="000000"/>
                <w:sz w:val="20"/>
                <w:szCs w:val="20"/>
              </w:rPr>
              <w:t xml:space="preserve">18</w:t>
            </w:r>
          </w:p>
        </w:tc>
        <w:tc>
          <w:tcPr>
            <w:tcW w:type="dxa" w:w="1600"/>
            <w:vAlign w:val="center"/>
          </w:tcPr>
          <w:p>
            <w:r>
              <w:rPr>
                <w:rFonts w:ascii="Times New Roman" w:cs="Times New Roman" w:eastAsia="Times New Roman" w:hAnsi="Times New Roman"/>
                <w:b w:val="false"/>
                <w:bCs w:val="false"/>
                <w:color w:val="000000"/>
                <w:sz w:val="20"/>
                <w:szCs w:val="20"/>
              </w:rPr>
              <w:t xml:space="preserve">572.85</w:t>
            </w:r>
          </w:p>
        </w:tc>
        <w:tc>
          <w:tcPr>
            <w:tcW w:type="dxa" w:w="1600"/>
            <w:vAlign w:val="center"/>
          </w:tcPr>
          <w:p>
            <w:r>
              <w:rPr>
                <w:rFonts w:ascii="Times New Roman" w:cs="Times New Roman" w:eastAsia="Times New Roman" w:hAnsi="Times New Roman"/>
                <w:b w:val="false"/>
                <w:bCs w:val="false"/>
                <w:color w:val="000000"/>
                <w:sz w:val="20"/>
                <w:szCs w:val="20"/>
              </w:rPr>
              <w:t xml:space="preserve">100</w:t>
            </w:r>
          </w:p>
        </w:tc>
        <w:tc>
          <w:tcPr>
            <w:tcW w:type="dxa" w:w="2000"/>
            <w:vAlign w:val="center"/>
          </w:tcPr>
          <w:p>
            <w:r>
              <w:rPr>
                <w:rFonts w:ascii="Times New Roman" w:cs="Times New Roman" w:eastAsia="Times New Roman" w:hAnsi="Times New Roman"/>
                <w:b w:val="false"/>
                <w:bCs w:val="false"/>
                <w:color w:val="000000"/>
                <w:sz w:val="20"/>
                <w:szCs w:val="20"/>
              </w:rPr>
              <w:t xml:space="preserve">77%</w:t>
            </w:r>
          </w:p>
        </w:tc>
      </w:tr>
      <w:tr>
        <w:tc>
          <w:tcPr>
            <w:tcW w:type="dxa" w:w="2600"/>
            <w:vAlign w:val="center"/>
          </w:tcPr>
          <w:p>
            <w:r>
              <w:rPr>
                <w:rFonts w:ascii="Times New Roman" w:cs="Times New Roman" w:eastAsia="Times New Roman" w:hAnsi="Times New Roman"/>
                <w:b w:val="false"/>
                <w:bCs w:val="false"/>
                <w:color w:val="000000"/>
                <w:sz w:val="20"/>
                <w:szCs w:val="20"/>
              </w:rPr>
              <w:t xml:space="preserve">KL Bangsar/Damansara</w:t>
            </w:r>
          </w:p>
        </w:tc>
        <w:tc>
          <w:tcPr>
            <w:tcW w:type="dxa" w:w="1400"/>
            <w:vAlign w:val="center"/>
          </w:tcPr>
          <w:p>
            <w:r>
              <w:rPr>
                <w:rFonts w:ascii="Times New Roman" w:cs="Times New Roman" w:eastAsia="Times New Roman" w:hAnsi="Times New Roman"/>
                <w:b w:val="false"/>
                <w:bCs w:val="false"/>
                <w:color w:val="000000"/>
                <w:sz w:val="20"/>
                <w:szCs w:val="20"/>
              </w:rPr>
              <w:t xml:space="preserve">13</w:t>
            </w:r>
          </w:p>
        </w:tc>
        <w:tc>
          <w:tcPr>
            <w:tcW w:type="dxa" w:w="1600"/>
            <w:vAlign w:val="center"/>
          </w:tcPr>
          <w:p>
            <w:r>
              <w:rPr>
                <w:rFonts w:ascii="Times New Roman" w:cs="Times New Roman" w:eastAsia="Times New Roman" w:hAnsi="Times New Roman"/>
                <w:b w:val="false"/>
                <w:bCs w:val="false"/>
                <w:color w:val="000000"/>
                <w:sz w:val="20"/>
                <w:szCs w:val="20"/>
              </w:rPr>
              <w:t xml:space="preserve">4330.00</w:t>
            </w:r>
          </w:p>
        </w:tc>
        <w:tc>
          <w:tcPr>
            <w:tcW w:type="dxa" w:w="1600"/>
            <w:vAlign w:val="center"/>
          </w:tcPr>
          <w:p>
            <w:r>
              <w:rPr>
                <w:rFonts w:ascii="Times New Roman" w:cs="Times New Roman" w:eastAsia="Times New Roman" w:hAnsi="Times New Roman"/>
                <w:b w:val="false"/>
                <w:bCs w:val="false"/>
                <w:color w:val="000000"/>
                <w:sz w:val="20"/>
                <w:szCs w:val="20"/>
              </w:rPr>
              <w:t xml:space="preserve">120</w:t>
            </w:r>
          </w:p>
        </w:tc>
        <w:tc>
          <w:tcPr>
            <w:tcW w:type="dxa" w:w="2000"/>
            <w:vAlign w:val="center"/>
          </w:tcPr>
          <w:p>
            <w:r>
              <w:rPr>
                <w:rFonts w:ascii="Times New Roman" w:cs="Times New Roman" w:eastAsia="Times New Roman" w:hAnsi="Times New Roman"/>
                <w:b w:val="false"/>
                <w:bCs w:val="false"/>
                <w:color w:val="000000"/>
                <w:sz w:val="20"/>
                <w:szCs w:val="20"/>
              </w:rPr>
              <w:t xml:space="preserve">11%</w:t>
            </w:r>
          </w:p>
        </w:tc>
      </w:tr>
      <w:tr>
        <w:tc>
          <w:tcPr>
            <w:tcW w:type="dxa" w:w="2600"/>
            <w:vAlign w:val="center"/>
          </w:tcPr>
          <w:p>
            <w:r>
              <w:rPr>
                <w:rFonts w:ascii="Times New Roman" w:cs="Times New Roman" w:eastAsia="Times New Roman" w:hAnsi="Times New Roman"/>
                <w:b w:val="false"/>
                <w:bCs w:val="false"/>
                <w:color w:val="000000"/>
                <w:sz w:val="20"/>
                <w:szCs w:val="20"/>
              </w:rPr>
              <w:t xml:space="preserve">Nusajaya/Iskandar Puteri</w:t>
            </w:r>
          </w:p>
        </w:tc>
        <w:tc>
          <w:tcPr>
            <w:tcW w:type="dxa" w:w="1400"/>
            <w:vAlign w:val="center"/>
          </w:tcPr>
          <w:p>
            <w:r>
              <w:rPr>
                <w:rFonts w:ascii="Times New Roman" w:cs="Times New Roman" w:eastAsia="Times New Roman" w:hAnsi="Times New Roman"/>
                <w:b w:val="false"/>
                <w:bCs w:val="false"/>
                <w:color w:val="000000"/>
                <w:sz w:val="20"/>
                <w:szCs w:val="20"/>
              </w:rPr>
              <w:t xml:space="preserve">11</w:t>
            </w:r>
          </w:p>
        </w:tc>
        <w:tc>
          <w:tcPr>
            <w:tcW w:type="dxa" w:w="1600"/>
            <w:vAlign w:val="center"/>
          </w:tcPr>
          <w:p>
            <w:r>
              <w:rPr>
                <w:rFonts w:ascii="Times New Roman" w:cs="Times New Roman" w:eastAsia="Times New Roman" w:hAnsi="Times New Roman"/>
                <w:b w:val="false"/>
                <w:bCs w:val="false"/>
                <w:color w:val="000000"/>
                <w:sz w:val="20"/>
                <w:szCs w:val="20"/>
              </w:rPr>
              <w:t xml:space="preserve">1650.00</w:t>
            </w:r>
          </w:p>
        </w:tc>
        <w:tc>
          <w:tcPr>
            <w:tcW w:type="dxa" w:w="1600"/>
            <w:vAlign w:val="center"/>
          </w:tcPr>
          <w:p>
            <w:r>
              <w:rPr>
                <w:rFonts w:ascii="Times New Roman" w:cs="Times New Roman" w:eastAsia="Times New Roman" w:hAnsi="Times New Roman"/>
                <w:b w:val="false"/>
                <w:bCs w:val="false"/>
                <w:color w:val="000000"/>
                <w:sz w:val="20"/>
                <w:szCs w:val="20"/>
              </w:rPr>
              <w:t xml:space="preserve">660</w:t>
            </w:r>
          </w:p>
        </w:tc>
        <w:tc>
          <w:tcPr>
            <w:tcW w:type="dxa" w:w="2000"/>
            <w:vAlign w:val="center"/>
          </w:tcPr>
          <w:p>
            <w:r>
              <w:rPr>
                <w:rFonts w:ascii="Times New Roman" w:cs="Times New Roman" w:eastAsia="Times New Roman" w:hAnsi="Times New Roman"/>
                <w:b w:val="false"/>
                <w:bCs w:val="false"/>
                <w:color w:val="000000"/>
                <w:sz w:val="20"/>
                <w:szCs w:val="20"/>
              </w:rPr>
              <w:t xml:space="preserve">71%</w:t>
            </w:r>
          </w:p>
        </w:tc>
      </w:tr>
      <w:tr>
        <w:tc>
          <w:tcPr>
            <w:tcW w:type="dxa" w:w="2600"/>
            <w:vAlign w:val="center"/>
          </w:tcPr>
          <w:p>
            <w:r>
              <w:rPr>
                <w:rFonts w:ascii="Times New Roman" w:cs="Times New Roman" w:eastAsia="Times New Roman" w:hAnsi="Times New Roman"/>
                <w:b w:val="false"/>
                <w:bCs w:val="false"/>
                <w:color w:val="000000"/>
                <w:sz w:val="20"/>
                <w:szCs w:val="20"/>
              </w:rPr>
              <w:t xml:space="preserve">Sedenak (pilot corridor)</w:t>
            </w:r>
          </w:p>
        </w:tc>
        <w:tc>
          <w:tcPr>
            <w:tcW w:type="dxa" w:w="1400"/>
            <w:vAlign w:val="center"/>
          </w:tcPr>
          <w:p>
            <w:r>
              <w:rPr>
                <w:rFonts w:ascii="Times New Roman" w:cs="Times New Roman" w:eastAsia="Times New Roman" w:hAnsi="Times New Roman"/>
                <w:b w:val="false"/>
                <w:bCs w:val="false"/>
                <w:color w:val="000000"/>
                <w:sz w:val="20"/>
                <w:szCs w:val="20"/>
              </w:rPr>
              <w:t xml:space="preserve">5</w:t>
            </w:r>
          </w:p>
        </w:tc>
        <w:tc>
          <w:tcPr>
            <w:tcW w:type="dxa" w:w="1600"/>
            <w:vAlign w:val="center"/>
          </w:tcPr>
          <w:p>
            <w:r>
              <w:rPr>
                <w:rFonts w:ascii="Times New Roman" w:cs="Times New Roman" w:eastAsia="Times New Roman" w:hAnsi="Times New Roman"/>
                <w:b w:val="false"/>
                <w:bCs w:val="false"/>
                <w:color w:val="000000"/>
                <w:sz w:val="20"/>
                <w:szCs w:val="20"/>
              </w:rPr>
              <w:t xml:space="preserve">536.30</w:t>
            </w:r>
          </w:p>
        </w:tc>
        <w:tc>
          <w:tcPr>
            <w:tcW w:type="dxa" w:w="1600"/>
            <w:vAlign w:val="center"/>
          </w:tcPr>
          <w:p>
            <w:r>
              <w:rPr>
                <w:rFonts w:ascii="Times New Roman" w:cs="Times New Roman" w:eastAsia="Times New Roman" w:hAnsi="Times New Roman"/>
                <w:b w:val="false"/>
                <w:bCs w:val="false"/>
                <w:color w:val="000000"/>
                <w:sz w:val="20"/>
                <w:szCs w:val="20"/>
              </w:rPr>
              <w:t xml:space="preserve">210</w:t>
            </w:r>
          </w:p>
        </w:tc>
        <w:tc>
          <w:tcPr>
            <w:tcW w:type="dxa" w:w="2000"/>
            <w:vAlign w:val="center"/>
          </w:tcPr>
          <w:p>
            <w:r>
              <w:rPr>
                <w:rFonts w:ascii="Times New Roman" w:cs="Times New Roman" w:eastAsia="Times New Roman" w:hAnsi="Times New Roman"/>
                <w:b w:val="false"/>
                <w:bCs w:val="false"/>
                <w:color w:val="000000"/>
                <w:sz w:val="20"/>
                <w:szCs w:val="20"/>
              </w:rPr>
              <w:t xml:space="preserve">67% (54 ha gain, 2000–2020)</w:t>
            </w:r>
          </w:p>
        </w:tc>
      </w:tr>
      <w:tr>
        <w:tc>
          <w:tcPr>
            <w:tcW w:type="dxa" w:w="2600"/>
            <w:vAlign w:val="center"/>
          </w:tcPr>
          <w:p>
            <w:r>
              <w:rPr>
                <w:rFonts w:ascii="Times New Roman" w:cs="Times New Roman" w:eastAsia="Times New Roman" w:hAnsi="Times New Roman"/>
                <w:b w:val="false"/>
                <w:bCs w:val="false"/>
                <w:color w:val="000000"/>
                <w:sz w:val="20"/>
                <w:szCs w:val="20"/>
              </w:rPr>
              <w:t xml:space="preserve">Penang (PE1/PE2/Exabytes)</w:t>
            </w:r>
          </w:p>
        </w:tc>
        <w:tc>
          <w:tcPr>
            <w:tcW w:type="dxa" w:w="1400"/>
            <w:vAlign w:val="center"/>
          </w:tcPr>
          <w:p>
            <w:r>
              <w:rPr>
                <w:rFonts w:ascii="Times New Roman" w:cs="Times New Roman" w:eastAsia="Times New Roman" w:hAnsi="Times New Roman"/>
                <w:b w:val="false"/>
                <w:bCs w:val="false"/>
                <w:color w:val="000000"/>
                <w:sz w:val="20"/>
                <w:szCs w:val="20"/>
              </w:rPr>
              <w:t xml:space="preserve">3</w:t>
            </w:r>
          </w:p>
        </w:tc>
        <w:tc>
          <w:tcPr>
            <w:tcW w:type="dxa" w:w="1600"/>
            <w:vAlign w:val="center"/>
          </w:tcPr>
          <w:p>
            <w:r>
              <w:rPr>
                <w:rFonts w:ascii="Times New Roman" w:cs="Times New Roman" w:eastAsia="Times New Roman" w:hAnsi="Times New Roman"/>
                <w:b w:val="false"/>
                <w:bCs w:val="false"/>
                <w:color w:val="000000"/>
                <w:sz w:val="20"/>
                <w:szCs w:val="20"/>
              </w:rPr>
              <w:t xml:space="preserve">462.53</w:t>
            </w:r>
          </w:p>
        </w:tc>
        <w:tc>
          <w:tcPr>
            <w:tcW w:type="dxa" w:w="1600"/>
            <w:vAlign w:val="center"/>
          </w:tcPr>
          <w:p>
            <w:r>
              <w:rPr>
                <w:rFonts w:ascii="Times New Roman" w:cs="Times New Roman" w:eastAsia="Times New Roman" w:hAnsi="Times New Roman"/>
                <w:b w:val="false"/>
                <w:bCs w:val="false"/>
                <w:color w:val="000000"/>
                <w:sz w:val="20"/>
                <w:szCs w:val="20"/>
              </w:rPr>
              <w:t xml:space="preserve">5.0</w:t>
            </w:r>
          </w:p>
        </w:tc>
        <w:tc>
          <w:tcPr>
            <w:tcW w:type="dxa" w:w="2000"/>
            <w:vAlign w:val="center"/>
          </w:tcPr>
          <w:p>
            <w:r>
              <w:rPr>
                <w:rFonts w:ascii="Times New Roman" w:cs="Times New Roman" w:eastAsia="Times New Roman" w:hAnsi="Times New Roman"/>
                <w:b w:val="false"/>
                <w:bCs w:val="false"/>
                <w:color w:val="000000"/>
                <w:sz w:val="20"/>
                <w:szCs w:val="20"/>
              </w:rPr>
              <w:t xml:space="preserve">15%</w:t>
            </w:r>
          </w:p>
        </w:tc>
      </w:tr>
      <w:tr>
        <w:tc>
          <w:tcPr>
            <w:tcW w:type="dxa" w:w="2600"/>
            <w:vAlign w:val="center"/>
          </w:tcPr>
          <w:p>
            <w:r>
              <w:rPr>
                <w:rFonts w:ascii="Times New Roman" w:cs="Times New Roman" w:eastAsia="Times New Roman" w:hAnsi="Times New Roman"/>
                <w:b w:val="false"/>
                <w:bCs w:val="false"/>
                <w:color w:val="000000"/>
                <w:sz w:val="20"/>
                <w:szCs w:val="20"/>
              </w:rPr>
              <w:t xml:space="preserve">YTL Kulai</w:t>
            </w:r>
          </w:p>
        </w:tc>
        <w:tc>
          <w:tcPr>
            <w:tcW w:type="dxa" w:w="1400"/>
            <w:vAlign w:val="center"/>
          </w:tcPr>
          <w:p>
            <w:r>
              <w:rPr>
                <w:rFonts w:ascii="Times New Roman" w:cs="Times New Roman" w:eastAsia="Times New Roman" w:hAnsi="Times New Roman"/>
                <w:b w:val="false"/>
                <w:bCs w:val="false"/>
                <w:color w:val="000000"/>
                <w:sz w:val="20"/>
                <w:szCs w:val="20"/>
              </w:rPr>
              <w:t xml:space="preserve">3</w:t>
            </w:r>
          </w:p>
        </w:tc>
        <w:tc>
          <w:tcPr>
            <w:tcW w:type="dxa" w:w="1600"/>
            <w:vAlign w:val="center"/>
          </w:tcPr>
          <w:p>
            <w:r>
              <w:rPr>
                <w:rFonts w:ascii="Times New Roman" w:cs="Times New Roman" w:eastAsia="Times New Roman" w:hAnsi="Times New Roman"/>
                <w:b w:val="false"/>
                <w:bCs w:val="false"/>
                <w:color w:val="000000"/>
                <w:sz w:val="20"/>
                <w:szCs w:val="20"/>
              </w:rPr>
              <w:t xml:space="preserve">105.75</w:t>
            </w:r>
          </w:p>
        </w:tc>
        <w:tc>
          <w:tcPr>
            <w:tcW w:type="dxa" w:w="1600"/>
            <w:vAlign w:val="center"/>
          </w:tcPr>
          <w:p>
            <w:r>
              <w:rPr>
                <w:rFonts w:ascii="Times New Roman" w:cs="Times New Roman" w:eastAsia="Times New Roman" w:hAnsi="Times New Roman"/>
                <w:b w:val="false"/>
                <w:bCs w:val="false"/>
                <w:color w:val="000000"/>
                <w:sz w:val="20"/>
                <w:szCs w:val="20"/>
              </w:rPr>
              <w:t xml:space="preserve">100</w:t>
            </w:r>
          </w:p>
        </w:tc>
        <w:tc>
          <w:tcPr>
            <w:tcW w:type="dxa" w:w="2000"/>
            <w:vAlign w:val="center"/>
          </w:tcPr>
          <w:p>
            <w:r>
              <w:rPr>
                <w:rFonts w:ascii="Times New Roman" w:cs="Times New Roman" w:eastAsia="Times New Roman" w:hAnsi="Times New Roman"/>
                <w:b w:val="false"/>
                <w:bCs w:val="false"/>
                <w:color w:val="000000"/>
                <w:sz w:val="20"/>
                <w:szCs w:val="20"/>
              </w:rPr>
              <w:t xml:space="preserve">97%</w:t>
            </w:r>
          </w:p>
        </w:tc>
      </w:tr>
      <w:tr>
        <w:tc>
          <w:tcPr>
            <w:tcW w:type="dxa" w:w="2600"/>
            <w:vAlign w:val="center"/>
          </w:tcPr>
          <w:p>
            <w:r>
              <w:rPr>
                <w:rFonts w:ascii="Times New Roman" w:cs="Times New Roman" w:eastAsia="Times New Roman" w:hAnsi="Times New Roman"/>
                <w:b w:val="false"/>
                <w:bCs w:val="false"/>
                <w:color w:val="000000"/>
                <w:sz w:val="20"/>
                <w:szCs w:val="20"/>
              </w:rPr>
              <w:t xml:space="preserve">Shah Alam i-City</w:t>
            </w:r>
          </w:p>
        </w:tc>
        <w:tc>
          <w:tcPr>
            <w:tcW w:type="dxa" w:w="1400"/>
            <w:vAlign w:val="center"/>
          </w:tcPr>
          <w:p>
            <w:r>
              <w:rPr>
                <w:rFonts w:ascii="Times New Roman" w:cs="Times New Roman" w:eastAsia="Times New Roman" w:hAnsi="Times New Roman"/>
                <w:b w:val="false"/>
                <w:bCs w:val="false"/>
                <w:color w:val="000000"/>
                <w:sz w:val="20"/>
                <w:szCs w:val="20"/>
              </w:rPr>
              <w:t xml:space="preserve">3</w:t>
            </w:r>
          </w:p>
        </w:tc>
        <w:tc>
          <w:tcPr>
            <w:tcW w:type="dxa" w:w="1600"/>
            <w:vAlign w:val="center"/>
          </w:tcPr>
          <w:p>
            <w:r>
              <w:rPr>
                <w:rFonts w:ascii="Times New Roman" w:cs="Times New Roman" w:eastAsia="Times New Roman" w:hAnsi="Times New Roman"/>
                <w:b w:val="false"/>
                <w:bCs w:val="false"/>
                <w:color w:val="000000"/>
                <w:sz w:val="20"/>
                <w:szCs w:val="20"/>
              </w:rPr>
              <w:t xml:space="preserve">116.29</w:t>
            </w:r>
          </w:p>
        </w:tc>
        <w:tc>
          <w:tcPr>
            <w:tcW w:type="dxa" w:w="1600"/>
            <w:vAlign w:val="center"/>
          </w:tcPr>
          <w:p>
            <w:r>
              <w:rPr>
                <w:rFonts w:ascii="Times New Roman" w:cs="Times New Roman" w:eastAsia="Times New Roman" w:hAnsi="Times New Roman"/>
                <w:b w:val="false"/>
                <w:bCs w:val="false"/>
                <w:color w:val="000000"/>
                <w:sz w:val="20"/>
                <w:szCs w:val="20"/>
              </w:rPr>
              <w:t xml:space="preserve">2.0</w:t>
            </w:r>
          </w:p>
        </w:tc>
        <w:tc>
          <w:tcPr>
            <w:tcW w:type="dxa" w:w="2000"/>
            <w:vAlign w:val="center"/>
          </w:tcPr>
          <w:p>
            <w:r>
              <w:rPr>
                <w:rFonts w:ascii="Times New Roman" w:cs="Times New Roman" w:eastAsia="Times New Roman" w:hAnsi="Times New Roman"/>
                <w:b w:val="false"/>
                <w:bCs w:val="false"/>
                <w:color w:val="000000"/>
                <w:sz w:val="20"/>
                <w:szCs w:val="20"/>
              </w:rPr>
              <w:t xml:space="preserve">48%</w:t>
            </w:r>
          </w:p>
        </w:tc>
      </w:tr>
      <w:tr>
        <w:tc>
          <w:tcPr>
            <w:tcW w:type="dxa" w:w="2600"/>
            <w:vAlign w:val="center"/>
          </w:tcPr>
          <w:p>
            <w:r>
              <w:rPr>
                <w:rFonts w:ascii="Times New Roman" w:cs="Times New Roman" w:eastAsia="Times New Roman" w:hAnsi="Times New Roman"/>
                <w:b w:val="false"/>
                <w:bCs w:val="false"/>
                <w:color w:val="000000"/>
                <w:sz w:val="20"/>
                <w:szCs w:val="20"/>
              </w:rPr>
              <w:t xml:space="preserve">Nilai/Labu</w:t>
            </w:r>
          </w:p>
        </w:tc>
        <w:tc>
          <w:tcPr>
            <w:tcW w:type="dxa" w:w="1400"/>
            <w:vAlign w:val="center"/>
          </w:tcPr>
          <w:p>
            <w:r>
              <w:rPr>
                <w:rFonts w:ascii="Times New Roman" w:cs="Times New Roman" w:eastAsia="Times New Roman" w:hAnsi="Times New Roman"/>
                <w:b w:val="false"/>
                <w:bCs w:val="false"/>
                <w:color w:val="000000"/>
                <w:sz w:val="20"/>
                <w:szCs w:val="20"/>
              </w:rPr>
              <w:t xml:space="preserve">2</w:t>
            </w:r>
          </w:p>
        </w:tc>
        <w:tc>
          <w:tcPr>
            <w:tcW w:type="dxa" w:w="1600"/>
            <w:vAlign w:val="center"/>
          </w:tcPr>
          <w:p>
            <w:r>
              <w:rPr>
                <w:rFonts w:ascii="Times New Roman" w:cs="Times New Roman" w:eastAsia="Times New Roman" w:hAnsi="Times New Roman"/>
                <w:b w:val="false"/>
                <w:bCs w:val="false"/>
                <w:color w:val="000000"/>
                <w:sz w:val="20"/>
                <w:szCs w:val="20"/>
              </w:rPr>
              <w:t xml:space="preserve">107.07</w:t>
            </w:r>
          </w:p>
        </w:tc>
        <w:tc>
          <w:tcPr>
            <w:tcW w:type="dxa" w:w="1600"/>
            <w:vAlign w:val="center"/>
          </w:tcPr>
          <w:p>
            <w:r>
              <w:rPr>
                <w:rFonts w:ascii="Times New Roman" w:cs="Times New Roman" w:eastAsia="Times New Roman" w:hAnsi="Times New Roman"/>
                <w:b w:val="false"/>
                <w:bCs w:val="false"/>
                <w:color w:val="000000"/>
                <w:sz w:val="20"/>
                <w:szCs w:val="20"/>
              </w:rPr>
              <w:t xml:space="preserve">97</w:t>
            </w:r>
          </w:p>
        </w:tc>
        <w:tc>
          <w:tcPr>
            <w:tcW w:type="dxa" w:w="2000"/>
            <w:vAlign w:val="center"/>
          </w:tcPr>
          <w:p>
            <w:r>
              <w:rPr>
                <w:rFonts w:ascii="Times New Roman" w:cs="Times New Roman" w:eastAsia="Times New Roman" w:hAnsi="Times New Roman"/>
                <w:b w:val="false"/>
                <w:bCs w:val="false"/>
                <w:color w:val="000000"/>
                <w:sz w:val="20"/>
                <w:szCs w:val="20"/>
              </w:rPr>
              <w:t xml:space="preserve">96%</w:t>
            </w:r>
          </w:p>
        </w:tc>
      </w:tr>
      <w:tr>
        <w:tc>
          <w:tcPr>
            <w:tcW w:type="dxa" w:w="2600"/>
            <w:vAlign w:val="center"/>
          </w:tcPr>
          <w:p>
            <w:r>
              <w:rPr>
                <w:rFonts w:ascii="Times New Roman" w:cs="Times New Roman" w:eastAsia="Times New Roman" w:hAnsi="Times New Roman"/>
                <w:b w:val="false"/>
                <w:bCs w:val="false"/>
                <w:color w:val="000000"/>
                <w:sz w:val="20"/>
                <w:szCs w:val="20"/>
              </w:rPr>
              <w:t xml:space="preserve">Kedah SBEZ</w:t>
            </w:r>
          </w:p>
        </w:tc>
        <w:tc>
          <w:tcPr>
            <w:tcW w:type="dxa" w:w="1400"/>
            <w:vAlign w:val="center"/>
          </w:tcPr>
          <w:p>
            <w:r>
              <w:rPr>
                <w:rFonts w:ascii="Times New Roman" w:cs="Times New Roman" w:eastAsia="Times New Roman" w:hAnsi="Times New Roman"/>
                <w:b w:val="false"/>
                <w:bCs w:val="false"/>
                <w:color w:val="000000"/>
                <w:sz w:val="20"/>
                <w:szCs w:val="20"/>
              </w:rPr>
              <w:t xml:space="preserve">2</w:t>
            </w:r>
          </w:p>
        </w:tc>
        <w:tc>
          <w:tcPr>
            <w:tcW w:type="dxa" w:w="1600"/>
            <w:vAlign w:val="center"/>
          </w:tcPr>
          <w:p>
            <w:r>
              <w:rPr>
                <w:rFonts w:ascii="Times New Roman" w:cs="Times New Roman" w:eastAsia="Times New Roman" w:hAnsi="Times New Roman"/>
                <w:b w:val="false"/>
                <w:bCs w:val="false"/>
                <w:color w:val="000000"/>
                <w:sz w:val="20"/>
                <w:szCs w:val="20"/>
              </w:rPr>
              <w:t xml:space="preserve">224.00</w:t>
            </w:r>
          </w:p>
        </w:tc>
        <w:tc>
          <w:tcPr>
            <w:tcW w:type="dxa" w:w="1600"/>
            <w:vAlign w:val="center"/>
          </w:tcPr>
          <w:p>
            <w:r>
              <w:rPr>
                <w:rFonts w:ascii="Times New Roman" w:cs="Times New Roman" w:eastAsia="Times New Roman" w:hAnsi="Times New Roman"/>
                <w:b w:val="false"/>
                <w:bCs w:val="false"/>
                <w:color w:val="000000"/>
                <w:sz w:val="20"/>
                <w:szCs w:val="20"/>
              </w:rPr>
              <w:t xml:space="preserve">49</w:t>
            </w:r>
          </w:p>
        </w:tc>
        <w:tc>
          <w:tcPr>
            <w:tcW w:type="dxa" w:w="2000"/>
            <w:vAlign w:val="center"/>
          </w:tcPr>
          <w:p>
            <w:r>
              <w:rPr>
                <w:rFonts w:ascii="Times New Roman" w:cs="Times New Roman" w:eastAsia="Times New Roman" w:hAnsi="Times New Roman"/>
                <w:b w:val="false"/>
                <w:bCs w:val="false"/>
                <w:color w:val="000000"/>
                <w:sz w:val="20"/>
                <w:szCs w:val="20"/>
              </w:rPr>
              <w:t xml:space="preserve">87%</w:t>
            </w:r>
          </w:p>
        </w:tc>
      </w:tr>
      <w:tr>
        <w:tc>
          <w:tcPr>
            <w:tcW w:type="dxa" w:w="2600"/>
            <w:vAlign w:val="center"/>
          </w:tcPr>
          <w:p>
            <w:r>
              <w:rPr>
                <w:rFonts w:ascii="Times New Roman" w:cs="Times New Roman" w:eastAsia="Times New Roman" w:hAnsi="Times New Roman"/>
                <w:b w:val="false"/>
                <w:bCs w:val="false"/>
                <w:color w:val="000000"/>
                <w:sz w:val="20"/>
                <w:szCs w:val="20"/>
              </w:rPr>
              <w:t xml:space="preserve">VADS Cyberport/Open DC-JB2</w:t>
            </w:r>
          </w:p>
        </w:tc>
        <w:tc>
          <w:tcPr>
            <w:tcW w:type="dxa" w:w="1400"/>
            <w:vAlign w:val="center"/>
          </w:tcPr>
          <w:p>
            <w:r>
              <w:rPr>
                <w:rFonts w:ascii="Times New Roman" w:cs="Times New Roman" w:eastAsia="Times New Roman" w:hAnsi="Times New Roman"/>
                <w:b w:val="false"/>
                <w:bCs w:val="false"/>
                <w:color w:val="000000"/>
                <w:sz w:val="20"/>
                <w:szCs w:val="20"/>
              </w:rPr>
              <w:t xml:space="preserve">2</w:t>
            </w:r>
          </w:p>
        </w:tc>
        <w:tc>
          <w:tcPr>
            <w:tcW w:type="dxa" w:w="1600"/>
            <w:vAlign w:val="center"/>
          </w:tcPr>
          <w:p>
            <w:r>
              <w:rPr>
                <w:rFonts w:ascii="Times New Roman" w:cs="Times New Roman" w:eastAsia="Times New Roman" w:hAnsi="Times New Roman"/>
                <w:b w:val="false"/>
                <w:bCs w:val="false"/>
                <w:color w:val="000000"/>
                <w:sz w:val="20"/>
                <w:szCs w:val="20"/>
              </w:rPr>
              <w:t xml:space="preserve">167.12</w:t>
            </w:r>
          </w:p>
        </w:tc>
        <w:tc>
          <w:tcPr>
            <w:tcW w:type="dxa" w:w="1600"/>
            <w:vAlign w:val="center"/>
          </w:tcPr>
          <w:p>
            <w:r>
              <w:rPr>
                <w:rFonts w:ascii="Times New Roman" w:cs="Times New Roman" w:eastAsia="Times New Roman" w:hAnsi="Times New Roman"/>
                <w:b w:val="false"/>
                <w:bCs w:val="false"/>
                <w:color w:val="000000"/>
                <w:sz w:val="20"/>
                <w:szCs w:val="20"/>
              </w:rPr>
              <w:t xml:space="preserve">&lt;1</w:t>
            </w:r>
          </w:p>
        </w:tc>
        <w:tc>
          <w:tcPr>
            <w:tcW w:type="dxa" w:w="2000"/>
            <w:vAlign w:val="center"/>
          </w:tcPr>
          <w:p>
            <w:r>
              <w:rPr>
                <w:rFonts w:ascii="Times New Roman" w:cs="Times New Roman" w:eastAsia="Times New Roman" w:hAnsi="Times New Roman"/>
                <w:b w:val="false"/>
                <w:bCs w:val="false"/>
                <w:color w:val="000000"/>
                <w:sz w:val="20"/>
                <w:szCs w:val="20"/>
              </w:rPr>
              <w:t xml:space="preserve">14%</w:t>
            </w:r>
          </w:p>
        </w:tc>
      </w:tr>
      <w:tr>
        <w:tc>
          <w:tcPr>
            <w:tcW w:type="dxa" w:w="2600"/>
            <w:vAlign w:val="center"/>
          </w:tcPr>
          <w:p>
            <w:r>
              <w:rPr>
                <w:rFonts w:ascii="Times New Roman" w:cs="Times New Roman" w:eastAsia="Times New Roman" w:hAnsi="Times New Roman"/>
                <w:b w:val="false"/>
                <w:bCs w:val="false"/>
                <w:color w:val="000000"/>
                <w:sz w:val="20"/>
                <w:szCs w:val="20"/>
              </w:rPr>
              <w:t xml:space="preserve">MaNaDr Kuching</w:t>
            </w:r>
          </w:p>
        </w:tc>
        <w:tc>
          <w:tcPr>
            <w:tcW w:type="dxa" w:w="1400"/>
            <w:vAlign w:val="center"/>
          </w:tcPr>
          <w:p>
            <w:r>
              <w:rPr>
                <w:rFonts w:ascii="Times New Roman" w:cs="Times New Roman" w:eastAsia="Times New Roman" w:hAnsi="Times New Roman"/>
                <w:b w:val="false"/>
                <w:bCs w:val="false"/>
                <w:color w:val="000000"/>
                <w:sz w:val="20"/>
                <w:szCs w:val="20"/>
              </w:rPr>
              <w:t xml:space="preserve">1</w:t>
            </w:r>
          </w:p>
        </w:tc>
        <w:tc>
          <w:tcPr>
            <w:tcW w:type="dxa" w:w="1600"/>
            <w:vAlign w:val="center"/>
          </w:tcPr>
          <w:p>
            <w:r>
              <w:rPr>
                <w:rFonts w:ascii="Times New Roman" w:cs="Times New Roman" w:eastAsia="Times New Roman" w:hAnsi="Times New Roman"/>
                <w:b w:val="false"/>
                <w:bCs w:val="false"/>
                <w:color w:val="000000"/>
                <w:sz w:val="20"/>
                <w:szCs w:val="20"/>
              </w:rPr>
              <w:t xml:space="preserve">105.76</w:t>
            </w:r>
          </w:p>
        </w:tc>
        <w:tc>
          <w:tcPr>
            <w:tcW w:type="dxa" w:w="1600"/>
            <w:vAlign w:val="center"/>
          </w:tcPr>
          <w:p>
            <w:r>
              <w:rPr>
                <w:rFonts w:ascii="Times New Roman" w:cs="Times New Roman" w:eastAsia="Times New Roman" w:hAnsi="Times New Roman"/>
                <w:b w:val="false"/>
                <w:bCs w:val="false"/>
                <w:color w:val="000000"/>
                <w:sz w:val="20"/>
                <w:szCs w:val="20"/>
              </w:rPr>
              <w:t xml:space="preserve">0</w:t>
            </w:r>
          </w:p>
        </w:tc>
        <w:tc>
          <w:tcPr>
            <w:tcW w:type="dxa" w:w="2000"/>
            <w:vAlign w:val="center"/>
          </w:tcPr>
          <w:p>
            <w:r>
              <w:rPr>
                <w:rFonts w:ascii="Times New Roman" w:cs="Times New Roman" w:eastAsia="Times New Roman" w:hAnsi="Times New Roman"/>
                <w:b w:val="false"/>
                <w:bCs w:val="false"/>
                <w:color w:val="000000"/>
                <w:sz w:val="20"/>
                <w:szCs w:val="20"/>
              </w:rPr>
              <w:t xml:space="preserve">0%</w:t>
            </w:r>
          </w:p>
        </w:tc>
      </w:tr>
      <w:tr>
        <w:tc>
          <w:tcPr>
            <w:tcW w:type="dxa" w:w="2600"/>
            <w:vAlign w:val="center"/>
          </w:tcPr>
          <w:p>
            <w:r>
              <w:rPr>
                <w:rFonts w:ascii="Times New Roman" w:cs="Times New Roman" w:eastAsia="Times New Roman" w:hAnsi="Times New Roman"/>
                <w:b w:val="false"/>
                <w:bCs w:val="false"/>
                <w:color w:val="000000"/>
                <w:sz w:val="20"/>
                <w:szCs w:val="20"/>
              </w:rPr>
              <w:t xml:space="preserve">irix Santubong</w:t>
            </w:r>
          </w:p>
        </w:tc>
        <w:tc>
          <w:tcPr>
            <w:tcW w:type="dxa" w:w="1400"/>
            <w:vAlign w:val="center"/>
          </w:tcPr>
          <w:p>
            <w:r>
              <w:rPr>
                <w:rFonts w:ascii="Times New Roman" w:cs="Times New Roman" w:eastAsia="Times New Roman" w:hAnsi="Times New Roman"/>
                <w:b w:val="false"/>
                <w:bCs w:val="false"/>
                <w:color w:val="000000"/>
                <w:sz w:val="20"/>
                <w:szCs w:val="20"/>
              </w:rPr>
              <w:t xml:space="preserve">1</w:t>
            </w:r>
          </w:p>
        </w:tc>
        <w:tc>
          <w:tcPr>
            <w:tcW w:type="dxa" w:w="1600"/>
            <w:vAlign w:val="center"/>
          </w:tcPr>
          <w:p>
            <w:r>
              <w:rPr>
                <w:rFonts w:ascii="Times New Roman" w:cs="Times New Roman" w:eastAsia="Times New Roman" w:hAnsi="Times New Roman"/>
                <w:b w:val="false"/>
                <w:bCs w:val="false"/>
                <w:color w:val="000000"/>
                <w:sz w:val="20"/>
                <w:szCs w:val="20"/>
              </w:rPr>
              <w:t xml:space="preserve">105.74</w:t>
            </w:r>
          </w:p>
        </w:tc>
        <w:tc>
          <w:tcPr>
            <w:tcW w:type="dxa" w:w="1600"/>
            <w:vAlign w:val="center"/>
          </w:tcPr>
          <w:p>
            <w:r>
              <w:rPr>
                <w:rFonts w:ascii="Times New Roman" w:cs="Times New Roman" w:eastAsia="Times New Roman" w:hAnsi="Times New Roman"/>
                <w:b w:val="false"/>
                <w:bCs w:val="false"/>
                <w:color w:val="000000"/>
                <w:sz w:val="20"/>
                <w:szCs w:val="20"/>
              </w:rPr>
              <w:t xml:space="preserve">14</w:t>
            </w:r>
          </w:p>
        </w:tc>
        <w:tc>
          <w:tcPr>
            <w:tcW w:type="dxa" w:w="2000"/>
            <w:vAlign w:val="center"/>
          </w:tcPr>
          <w:p>
            <w:r>
              <w:rPr>
                <w:rFonts w:ascii="Times New Roman" w:cs="Times New Roman" w:eastAsia="Times New Roman" w:hAnsi="Times New Roman"/>
                <w:b w:val="false"/>
                <w:bCs w:val="false"/>
                <w:color w:val="000000"/>
                <w:sz w:val="20"/>
                <w:szCs w:val="20"/>
              </w:rPr>
              <w:t xml:space="preserve">17%</w:t>
            </w:r>
          </w:p>
        </w:tc>
      </w:tr>
      <w:tr>
        <w:tc>
          <w:tcPr>
            <w:tcW w:type="dxa" w:w="2600"/>
            <w:vAlign w:val="center"/>
          </w:tcPr>
          <w:p>
            <w:r>
              <w:rPr>
                <w:rFonts w:ascii="Times New Roman" w:cs="Times New Roman" w:eastAsia="Times New Roman" w:hAnsi="Times New Roman"/>
                <w:b w:val="false"/>
                <w:bCs w:val="false"/>
                <w:color w:val="000000"/>
                <w:sz w:val="20"/>
                <w:szCs w:val="20"/>
              </w:rPr>
              <w:t xml:space="preserve">EdgeConneX KL CBD</w:t>
            </w:r>
          </w:p>
        </w:tc>
        <w:tc>
          <w:tcPr>
            <w:tcW w:type="dxa" w:w="1400"/>
            <w:vAlign w:val="center"/>
          </w:tcPr>
          <w:p>
            <w:r>
              <w:rPr>
                <w:rFonts w:ascii="Times New Roman" w:cs="Times New Roman" w:eastAsia="Times New Roman" w:hAnsi="Times New Roman"/>
                <w:b w:val="false"/>
                <w:bCs w:val="false"/>
                <w:color w:val="000000"/>
                <w:sz w:val="20"/>
                <w:szCs w:val="20"/>
              </w:rPr>
              <w:t xml:space="preserve">1</w:t>
            </w:r>
          </w:p>
        </w:tc>
        <w:tc>
          <w:tcPr>
            <w:tcW w:type="dxa" w:w="1600"/>
            <w:vAlign w:val="center"/>
          </w:tcPr>
          <w:p>
            <w:r>
              <w:rPr>
                <w:rFonts w:ascii="Times New Roman" w:cs="Times New Roman" w:eastAsia="Times New Roman" w:hAnsi="Times New Roman"/>
                <w:b w:val="false"/>
                <w:bCs w:val="false"/>
                <w:color w:val="000000"/>
                <w:sz w:val="20"/>
                <w:szCs w:val="20"/>
              </w:rPr>
              <w:t xml:space="preserve">105.54</w:t>
            </w:r>
          </w:p>
        </w:tc>
        <w:tc>
          <w:tcPr>
            <w:tcW w:type="dxa" w:w="1600"/>
            <w:vAlign w:val="center"/>
          </w:tcPr>
          <w:p>
            <w:r>
              <w:rPr>
                <w:rFonts w:ascii="Times New Roman" w:cs="Times New Roman" w:eastAsia="Times New Roman" w:hAnsi="Times New Roman"/>
                <w:b w:val="false"/>
                <w:bCs w:val="false"/>
                <w:color w:val="000000"/>
                <w:sz w:val="20"/>
                <w:szCs w:val="20"/>
              </w:rPr>
              <w:t xml:space="preserve">9.0</w:t>
            </w:r>
          </w:p>
        </w:tc>
        <w:tc>
          <w:tcPr>
            <w:tcW w:type="dxa" w:w="2000"/>
            <w:vAlign w:val="center"/>
          </w:tcPr>
          <w:p>
            <w:r>
              <w:rPr>
                <w:rFonts w:ascii="Times New Roman" w:cs="Times New Roman" w:eastAsia="Times New Roman" w:hAnsi="Times New Roman"/>
                <w:b w:val="false"/>
                <w:bCs w:val="false"/>
                <w:color w:val="000000"/>
                <w:sz w:val="20"/>
                <w:szCs w:val="20"/>
              </w:rPr>
              <w:t xml:space="preserve">29%</w:t>
            </w:r>
          </w:p>
        </w:tc>
      </w:tr>
      <w:tr>
        <w:tc>
          <w:tcPr>
            <w:tcW w:type="dxa" w:w="2600"/>
            <w:vAlign w:val="center"/>
          </w:tcPr>
          <w:p>
            <w:r>
              <w:rPr>
                <w:rFonts w:ascii="Times New Roman" w:cs="Times New Roman" w:eastAsia="Times New Roman" w:hAnsi="Times New Roman"/>
                <w:b w:val="false"/>
                <w:bCs w:val="false"/>
                <w:color w:val="000000"/>
                <w:sz w:val="20"/>
                <w:szCs w:val="20"/>
              </w:rPr>
              <w:t xml:space="preserve">Google Elmina Business Park</w:t>
            </w:r>
          </w:p>
        </w:tc>
        <w:tc>
          <w:tcPr>
            <w:tcW w:type="dxa" w:w="1400"/>
            <w:vAlign w:val="center"/>
          </w:tcPr>
          <w:p>
            <w:r>
              <w:rPr>
                <w:rFonts w:ascii="Times New Roman" w:cs="Times New Roman" w:eastAsia="Times New Roman" w:hAnsi="Times New Roman"/>
                <w:b w:val="false"/>
                <w:bCs w:val="false"/>
                <w:color w:val="000000"/>
                <w:sz w:val="20"/>
                <w:szCs w:val="20"/>
              </w:rPr>
              <w:t xml:space="preserve">1</w:t>
            </w:r>
          </w:p>
        </w:tc>
        <w:tc>
          <w:tcPr>
            <w:tcW w:type="dxa" w:w="1600"/>
            <w:vAlign w:val="center"/>
          </w:tcPr>
          <w:p>
            <w:r>
              <w:rPr>
                <w:rFonts w:ascii="Times New Roman" w:cs="Times New Roman" w:eastAsia="Times New Roman" w:hAnsi="Times New Roman"/>
                <w:b w:val="false"/>
                <w:bCs w:val="false"/>
                <w:color w:val="000000"/>
                <w:sz w:val="20"/>
                <w:szCs w:val="20"/>
              </w:rPr>
              <w:t xml:space="preserve">105.51</w:t>
            </w:r>
          </w:p>
        </w:tc>
        <w:tc>
          <w:tcPr>
            <w:tcW w:type="dxa" w:w="1600"/>
            <w:vAlign w:val="center"/>
          </w:tcPr>
          <w:p>
            <w:r>
              <w:rPr>
                <w:rFonts w:ascii="Times New Roman" w:cs="Times New Roman" w:eastAsia="Times New Roman" w:hAnsi="Times New Roman"/>
                <w:b w:val="false"/>
                <w:bCs w:val="false"/>
                <w:color w:val="000000"/>
                <w:sz w:val="20"/>
                <w:szCs w:val="20"/>
              </w:rPr>
              <w:t xml:space="preserve">110</w:t>
            </w:r>
          </w:p>
        </w:tc>
        <w:tc>
          <w:tcPr>
            <w:tcW w:type="dxa" w:w="2000"/>
            <w:vAlign w:val="center"/>
          </w:tcPr>
          <w:p>
            <w:r>
              <w:rPr>
                <w:rFonts w:ascii="Times New Roman" w:cs="Times New Roman" w:eastAsia="Times New Roman" w:hAnsi="Times New Roman"/>
                <w:b w:val="false"/>
                <w:bCs w:val="false"/>
                <w:color w:val="000000"/>
                <w:sz w:val="20"/>
                <w:szCs w:val="20"/>
              </w:rPr>
              <w:t xml:space="preserve">100%</w:t>
            </w:r>
          </w:p>
        </w:tc>
      </w:tr>
      <w:tr>
        <w:tc>
          <w:tcPr>
            <w:tcW w:type="dxa" w:w="2600"/>
            <w:vAlign w:val="center"/>
          </w:tcPr>
          <w:p>
            <w:r>
              <w:rPr>
                <w:rFonts w:ascii="Times New Roman" w:cs="Times New Roman" w:eastAsia="Times New Roman" w:hAnsi="Times New Roman"/>
                <w:b w:val="false"/>
                <w:bCs w:val="false"/>
                <w:color w:val="000000"/>
                <w:sz w:val="20"/>
                <w:szCs w:val="20"/>
              </w:rPr>
              <w:t xml:space="preserve">Mah Sing DC Hub Southville</w:t>
            </w:r>
          </w:p>
        </w:tc>
        <w:tc>
          <w:tcPr>
            <w:tcW w:type="dxa" w:w="1400"/>
            <w:vAlign w:val="center"/>
          </w:tcPr>
          <w:p>
            <w:r>
              <w:rPr>
                <w:rFonts w:ascii="Times New Roman" w:cs="Times New Roman" w:eastAsia="Times New Roman" w:hAnsi="Times New Roman"/>
                <w:b w:val="false"/>
                <w:bCs w:val="false"/>
                <w:color w:val="000000"/>
                <w:sz w:val="20"/>
                <w:szCs w:val="20"/>
              </w:rPr>
              <w:t xml:space="preserve">1</w:t>
            </w:r>
          </w:p>
        </w:tc>
        <w:tc>
          <w:tcPr>
            <w:tcW w:type="dxa" w:w="1600"/>
            <w:vAlign w:val="center"/>
          </w:tcPr>
          <w:p>
            <w:r>
              <w:rPr>
                <w:rFonts w:ascii="Times New Roman" w:cs="Times New Roman" w:eastAsia="Times New Roman" w:hAnsi="Times New Roman"/>
                <w:b w:val="false"/>
                <w:bCs w:val="false"/>
                <w:color w:val="000000"/>
                <w:sz w:val="20"/>
                <w:szCs w:val="20"/>
              </w:rPr>
              <w:t xml:space="preserve">105.57</w:t>
            </w:r>
          </w:p>
        </w:tc>
        <w:tc>
          <w:tcPr>
            <w:tcW w:type="dxa" w:w="1600"/>
            <w:vAlign w:val="center"/>
          </w:tcPr>
          <w:p>
            <w:r>
              <w:rPr>
                <w:rFonts w:ascii="Times New Roman" w:cs="Times New Roman" w:eastAsia="Times New Roman" w:hAnsi="Times New Roman"/>
                <w:b w:val="false"/>
                <w:bCs w:val="false"/>
                <w:color w:val="000000"/>
                <w:sz w:val="20"/>
                <w:szCs w:val="20"/>
              </w:rPr>
              <w:t xml:space="preserve">55</w:t>
            </w:r>
          </w:p>
        </w:tc>
        <w:tc>
          <w:tcPr>
            <w:tcW w:type="dxa" w:w="2000"/>
            <w:vAlign w:val="center"/>
          </w:tcPr>
          <w:p>
            <w:r>
              <w:rPr>
                <w:rFonts w:ascii="Times New Roman" w:cs="Times New Roman" w:eastAsia="Times New Roman" w:hAnsi="Times New Roman"/>
                <w:b w:val="false"/>
                <w:bCs w:val="false"/>
                <w:color w:val="000000"/>
                <w:sz w:val="20"/>
                <w:szCs w:val="20"/>
              </w:rPr>
              <w:t xml:space="preserve">67%</w:t>
            </w:r>
          </w:p>
        </w:tc>
      </w:tr>
      <w:tr>
        <w:tc>
          <w:tcPr>
            <w:tcW w:type="dxa" w:w="2600"/>
            <w:vAlign w:val="center"/>
          </w:tcPr>
          <w:p>
            <w:r>
              <w:rPr>
                <w:rFonts w:ascii="Times New Roman" w:cs="Times New Roman" w:eastAsia="Times New Roman" w:hAnsi="Times New Roman"/>
                <w:b w:val="false"/>
                <w:bCs w:val="false"/>
                <w:color w:val="000000"/>
                <w:sz w:val="20"/>
                <w:szCs w:val="20"/>
              </w:rPr>
              <w:t xml:space="preserve">DayOne Kempas Tech Park</w:t>
            </w:r>
          </w:p>
        </w:tc>
        <w:tc>
          <w:tcPr>
            <w:tcW w:type="dxa" w:w="1400"/>
            <w:vAlign w:val="center"/>
          </w:tcPr>
          <w:p>
            <w:r>
              <w:rPr>
                <w:rFonts w:ascii="Times New Roman" w:cs="Times New Roman" w:eastAsia="Times New Roman" w:hAnsi="Times New Roman"/>
                <w:b w:val="false"/>
                <w:bCs w:val="false"/>
                <w:color w:val="000000"/>
                <w:sz w:val="20"/>
                <w:szCs w:val="20"/>
              </w:rPr>
              <w:t xml:space="preserve">1</w:t>
            </w:r>
          </w:p>
        </w:tc>
        <w:tc>
          <w:tcPr>
            <w:tcW w:type="dxa" w:w="1600"/>
            <w:vAlign w:val="center"/>
          </w:tcPr>
          <w:p>
            <w:r>
              <w:rPr>
                <w:rFonts w:ascii="Times New Roman" w:cs="Times New Roman" w:eastAsia="Times New Roman" w:hAnsi="Times New Roman"/>
                <w:b w:val="false"/>
                <w:bCs w:val="false"/>
                <w:color w:val="000000"/>
                <w:sz w:val="20"/>
                <w:szCs w:val="20"/>
              </w:rPr>
              <w:t xml:space="preserve">105.76</w:t>
            </w:r>
          </w:p>
        </w:tc>
        <w:tc>
          <w:tcPr>
            <w:tcW w:type="dxa" w:w="1600"/>
            <w:vAlign w:val="center"/>
          </w:tcPr>
          <w:p>
            <w:r>
              <w:rPr>
                <w:rFonts w:ascii="Times New Roman" w:cs="Times New Roman" w:eastAsia="Times New Roman" w:hAnsi="Times New Roman"/>
                <w:b w:val="false"/>
                <w:bCs w:val="false"/>
                <w:color w:val="000000"/>
                <w:sz w:val="20"/>
                <w:szCs w:val="20"/>
              </w:rPr>
              <w:t xml:space="preserve">6.0</w:t>
            </w:r>
          </w:p>
        </w:tc>
        <w:tc>
          <w:tcPr>
            <w:tcW w:type="dxa" w:w="2000"/>
            <w:vAlign w:val="center"/>
          </w:tcPr>
          <w:p>
            <w:r>
              <w:rPr>
                <w:rFonts w:ascii="Times New Roman" w:cs="Times New Roman" w:eastAsia="Times New Roman" w:hAnsi="Times New Roman"/>
                <w:b w:val="false"/>
                <w:bCs w:val="false"/>
                <w:color w:val="000000"/>
                <w:sz w:val="20"/>
                <w:szCs w:val="20"/>
              </w:rPr>
              <w:t xml:space="preserve">61%</w:t>
            </w:r>
          </w:p>
        </w:tc>
      </w:tr>
    </w:tbl>
    <w:p>
      <w:pPr>
        <w:spacing w:after="140"/>
        <w:jc w:val="both"/>
      </w:pPr>
      <w:r>
        <w:rPr>
          <w:rFonts w:ascii="Times New Roman" w:cs="Times New Roman" w:eastAsia="Times New Roman" w:hAnsi="Times New Roman"/>
          <w:b w:val="false"/>
          <w:bCs w:val="false"/>
          <w:i w:val="false"/>
          <w:iCs w:val="false"/>
          <w:sz w:val="22"/>
          <w:szCs w:val="22"/>
        </w:rPr>
        <w:t xml:space="preserve">Aggregated across the 16 valid corridors (8,905.8 ha of combined area of interest, 68 buildings), total measured tree cover loss is approximately 1,537.5 ha, an area-weighted 17.3% of the combined 2000 canopy baseline. This is a corridor-level, not facility-level, figure: area-of-interest boxes were sized to each cluster's real-world extent plus a buffer and so include non-facility land within the same development corridor. As with the original Sedenak pilot, these figures should be read as an upper bound on development-attributable clearance rather than a direct estimate, since several corridors sit on former oil palm estate and the Hansen canopy definition does not distinguish plantation harvest-and-replant cycling from genuine forest clearance. The pattern across corridors is nonetheless informative in its own right: newer, purpose-built campuses on previously forested or plantation land (Google Elmina, 100%; YTL Kulai, 97%; Nilai/Labu, 96%) show near-total canopy loss within their drawn area of interest, while corridors sited within or adjacent to already-developed urban cores (KL Bangsar/Damansara, 11%; VADS Cyberport, 14%; Penang, 15%) show comparatively low loss, consistent with siting on land that was already cleared before the observation window began.</w:t>
      </w:r>
    </w:p>
    <w:p>
      <w:pPr>
        <w:spacing w:after="140"/>
        <w:jc w:val="both"/>
      </w:pPr>
      <w:r>
        <w:rPr>
          <w:rFonts w:ascii="Times New Roman" w:cs="Times New Roman" w:eastAsia="Times New Roman" w:hAnsi="Times New Roman"/>
          <w:b w:val="false"/>
          <w:bCs w:val="false"/>
          <w:i w:val="false"/>
          <w:iCs w:val="false"/>
          <w:sz w:val="22"/>
          <w:szCs w:val="22"/>
        </w:rPr>
        <w:t xml:space="preserve">A search of the Johor state legislature's Hansard record (2021–2023) and the federal Dewan Rakyat corpus found no sitting in which land clearing or deforestation is discussed in connection with data centre development. This is consistent with, and we argue is a direct consequence of, the regulatory finding in Section VI: individual data centre parcels in Johor are typically 1 to 2 acres, well under the hectare thresholds that would trigger Environmental Impact Assessment review under either the federal Prescribed Activities Order or Sarawak's equivalent regime, so no single facility ever generates the paper trail that would put land clearing before a regulator or, in turn, before a legislator.</w:t>
      </w:r>
    </w:p>
    <w:p>
      <w:pPr>
        <w:spacing w:after="140" w:before="280"/>
      </w:pPr>
      <w:r>
        <w:rPr>
          <w:rFonts w:ascii="Times New Roman" w:cs="Times New Roman" w:eastAsia="Times New Roman" w:hAnsi="Times New Roman"/>
          <w:b/>
          <w:bCs/>
          <w:sz w:val="26"/>
          <w:szCs w:val="26"/>
        </w:rPr>
        <w:t xml:space="preserve">VI. Regulatory Context: The Cumulative-Impact Blind Spot</w:t>
      </w:r>
    </w:p>
    <w:p>
      <w:pPr>
        <w:spacing w:after="140"/>
        <w:jc w:val="both"/>
      </w:pPr>
      <w:r>
        <w:rPr>
          <w:rFonts w:ascii="Times New Roman" w:cs="Times New Roman" w:eastAsia="Times New Roman" w:hAnsi="Times New Roman"/>
          <w:b w:val="false"/>
          <w:bCs w:val="false"/>
          <w:i w:val="false"/>
          <w:iCs w:val="false"/>
          <w:sz w:val="22"/>
          <w:szCs w:val="22"/>
        </w:rPr>
        <w:t xml:space="preserve">Every Malaysian jurisdiction checked, federal and the independently governed states of Sarawak and Sabah, treats data centres, where captured at all, as generic industrial or commercial floor area under existing hectare-based EIA thresholds, with no dedicated data centre trigger category. Because individual DC parcels are small relative to these thresholds, a corridor of sequentially developed, individually sub-threshold facilities can produce an aggregate resource and land-use footprint that would clearly warrant review if built as a single project, without any one facility ever crossing the line that would require it. This is not unique to data centres, the phenomenon is documented generally in environmental law as a cumulative-impact blind spot, but the Sedenak corridor is, to our knowledge, a concrete, quantified instance of it applied to this asset class.</w:t>
      </w:r>
    </w:p>
    <w:p>
      <w:pPr>
        <w:spacing w:after="140" w:before="280"/>
      </w:pPr>
      <w:r>
        <w:rPr>
          <w:rFonts w:ascii="Times New Roman" w:cs="Times New Roman" w:eastAsia="Times New Roman" w:hAnsi="Times New Roman"/>
          <w:b/>
          <w:bCs/>
          <w:sz w:val="26"/>
          <w:szCs w:val="26"/>
        </w:rPr>
        <w:t xml:space="preserve">VII. Discussion: Toward Facility-Level Natural Capital Disclosure</w:t>
      </w:r>
    </w:p>
    <w:p>
      <w:pPr>
        <w:spacing w:after="140"/>
        <w:jc w:val="both"/>
      </w:pPr>
      <w:r>
        <w:rPr>
          <w:rFonts w:ascii="Times New Roman" w:cs="Times New Roman" w:eastAsia="Times New Roman" w:hAnsi="Times New Roman"/>
          <w:b w:val="false"/>
          <w:bCs w:val="false"/>
          <w:i w:val="false"/>
          <w:iCs w:val="false"/>
          <w:sz w:val="22"/>
          <w:szCs w:val="22"/>
        </w:rPr>
        <w:t xml:space="preserve">The two empirical findings in this paper (coefficient invalidity in Section IV, and the unregulated land-cover externality in Section V) share a common structure: both are consequences of measuring, or governing, at a level of aggregation, whether a single national coefficient or a single-facility permitting threshold, that does not match the underlying heterogeneity or cumulative nature of the phenomenon. We suggest two directions. First, for resource accounting, facility-level disclosure of power and water consumption, even in coarse bands rather than exact figures, would allow national accounts to move from a single implausible coefficient to a genuine vintage-stratified estimate, consistent with SEEA principles. Second, for environmental governance, a corridor- or cluster-level cumulative assessment trigger, rather than a purely per-parcel threshold, would close the specific blind spot documented in Section VI, without requiring any change to the underlying hectare thresholds themselves.</w:t>
      </w:r>
    </w:p>
    <w:p>
      <w:pPr>
        <w:spacing w:after="140" w:before="280"/>
      </w:pPr>
      <w:r>
        <w:rPr>
          <w:rFonts w:ascii="Times New Roman" w:cs="Times New Roman" w:eastAsia="Times New Roman" w:hAnsi="Times New Roman"/>
          <w:b/>
          <w:bCs/>
          <w:sz w:val="26"/>
          <w:szCs w:val="26"/>
        </w:rPr>
        <w:t xml:space="preserve">VIII. Situating the Findings: Digital Colonialism and Global South Data Infrastructure</w:t>
      </w:r>
    </w:p>
    <w:p>
      <w:pPr>
        <w:spacing w:after="140"/>
        <w:jc w:val="both"/>
      </w:pPr>
      <w:r>
        <w:rPr>
          <w:rFonts w:ascii="Times New Roman" w:cs="Times New Roman" w:eastAsia="Times New Roman" w:hAnsi="Times New Roman"/>
          <w:b w:val="false"/>
          <w:bCs w:val="false"/>
          <w:i w:val="false"/>
          <w:iCs w:val="false"/>
          <w:sz w:val="22"/>
          <w:szCs w:val="22"/>
        </w:rPr>
        <w:t xml:space="preserve">The two empirical findings in this paper describe a specific technical and regulatory failure mode, but they sit within a broader pattern that critical infrastructure scholarship terms digital colonialism: the extraction of a Global South country's material resources (land, energy, water) to run digital infrastructure whose economic and computational value accrues predominantly to foreign hyperscale operators and their home-jurisdiction customers, under governance arrangements the host country did not design specifically for this purpose [PLACEHOLDER: cite Kwet 2019 on digital colonialism; Coleman 2019 or comparable on data centre political economy]. Malaysia's position in this pattern is not unique in the region: the comparative regulatory desk review accompanying this paper documents a structurally similar environmental-review architecture in Indonesia, where a comparable three-tier AMDAL/UKL-UPL/SPPL system likewise carries no data-centre-specific trigger category, and where the current investment wave (most visibly a single 360 MW, Nvidia-backed campus in Batam, anchored by a multi-billion-dollar offtake agreement with a foreign compute buyer) illustrates the same asymmetry at a different scale: a single foreign-anchored facility whose committed capacity is comparable to a substantial share of this paper's entire 71-building Malaysian dataset combined.</w:t>
      </w:r>
    </w:p>
    <w:p>
      <w:pPr>
        <w:spacing w:after="140"/>
        <w:jc w:val="both"/>
      </w:pPr>
      <w:r>
        <w:rPr>
          <w:rFonts w:ascii="Times New Roman" w:cs="Times New Roman" w:eastAsia="Times New Roman" w:hAnsi="Times New Roman"/>
          <w:b w:val="false"/>
          <w:bCs w:val="false"/>
          <w:i w:val="false"/>
          <w:iCs w:val="false"/>
          <w:sz w:val="22"/>
          <w:szCs w:val="22"/>
        </w:rPr>
        <w:t xml:space="preserve">What this paper adds to that broader discourse is not a new theoretical claim about digital colonialism, but an empirical demonstration of two specific mechanisms through which the extraction it describes remains invisible to host-country governance: a resource-accounting mechanism (Section IV, no facility-level disclosure means no accurate national account of what is actually being consumed) and a land-use mechanism (Sections V and VI, sub-threshold parcelling means no facility ever individually triggers the review that would surface its cumulative footprint). Both mechanisms are jurisdiction-agnostic in design, meaning they are not a Malaysian regulatory failure specifically, but they have a jurisdiction-specific distributional effect, since the resource and land costs are borne locally while a large share of the infrastructure's economic output and the underlying compute demand it serves originates elsewhere. This reframes the paper's central technical finding, that a single coefficient cannot describe a heterogeneous facility portfolio, as a case of a more general problem: opacity by design (via NDA-protected utility agreements and undisclosed capacity figures) and opacity by governance-architecture mismatch (via thresholds not built for this facility class) compound one another, and either alone would already be sufficient to prevent the kind of facility-level natural capital account Section VII calls for.</w:t>
      </w:r>
    </w:p>
    <w:p>
      <w:pPr>
        <w:spacing w:after="140" w:before="280"/>
      </w:pPr>
      <w:r>
        <w:rPr>
          <w:rFonts w:ascii="Times New Roman" w:cs="Times New Roman" w:eastAsia="Times New Roman" w:hAnsi="Times New Roman"/>
          <w:b/>
          <w:bCs/>
          <w:sz w:val="26"/>
          <w:szCs w:val="26"/>
        </w:rPr>
        <w:t xml:space="preserve">IX. Limitations</w:t>
      </w:r>
    </w:p>
    <w:p>
      <w:pPr>
        <w:pStyle w:val="ListParagraph"/>
        <w:numPr>
          <w:ilvl w:val="0"/>
          <w:numId w:val="2"/>
        </w:numPr>
        <w:spacing w:after="60"/>
      </w:pPr>
      <w:r>
        <w:rPr>
          <w:rFonts w:ascii="Times New Roman" w:cs="Times New Roman" w:eastAsia="Times New Roman" w:hAnsi="Times New Roman"/>
          <w:sz w:val="22"/>
          <w:szCs w:val="22"/>
        </w:rPr>
        <w:t xml:space="preserve">The verification finding in Section IV means the paper no longer reports a numeric power-density spread for the disclosed-capacity sample, since manual review found most of that sample's facilities could not be confidently located; this strengthens the opacity argument but means Section IV's evidence is now a verification-rate finding (7 of 8 unconfirmable) rather than a distributional one, and a larger, independently re-verified disclosed sample would be needed to characterise the heterogeneity distribution numerically.</w:t>
      </w:r>
    </w:p>
    <w:p>
      <w:pPr>
        <w:pStyle w:val="ListParagraph"/>
        <w:numPr>
          <w:ilvl w:val="0"/>
          <w:numId w:val="2"/>
        </w:numPr>
        <w:spacing w:after="60"/>
      </w:pPr>
      <w:r>
        <w:rPr>
          <w:rFonts w:ascii="Times New Roman" w:cs="Times New Roman" w:eastAsia="Times New Roman" w:hAnsi="Times New Roman"/>
          <w:sz w:val="22"/>
          <w:szCs w:val="22"/>
        </w:rPr>
        <w:t xml:space="preserve">The land-cover change analysis (Sections V and VI) has not been screened against an oil palm baseline and is explicitly presented as an upper bound, not a validated attribution.</w:t>
      </w:r>
    </w:p>
    <w:p>
      <w:pPr>
        <w:pStyle w:val="ListParagraph"/>
        <w:numPr>
          <w:ilvl w:val="0"/>
          <w:numId w:val="2"/>
        </w:numPr>
        <w:spacing w:after="60"/>
      </w:pPr>
      <w:r>
        <w:rPr>
          <w:rFonts w:ascii="Times New Roman" w:cs="Times New Roman" w:eastAsia="Times New Roman" w:hAnsi="Times New Roman"/>
          <w:sz w:val="22"/>
          <w:szCs w:val="22"/>
        </w:rPr>
        <w:t xml:space="preserve">The Hansard search (Section V) covers only files matching a fixed keyword set in the local corpus and cannot rule out relevant discussion using other terminology or held in records outside that corpus.</w:t>
      </w:r>
    </w:p>
    <w:p>
      <w:pPr>
        <w:pStyle w:val="ListParagraph"/>
        <w:numPr>
          <w:ilvl w:val="0"/>
          <w:numId w:val="2"/>
        </w:numPr>
        <w:spacing w:after="60"/>
      </w:pPr>
      <w:r>
        <w:rPr>
          <w:rFonts w:ascii="Times New Roman" w:cs="Times New Roman" w:eastAsia="Times New Roman" w:hAnsi="Times New Roman"/>
          <w:sz w:val="22"/>
          <w:szCs w:val="22"/>
        </w:rPr>
        <w:t xml:space="preserve">Grid emission factor and water usage effectiveness values used in the underlying resource estimates are fixed national or regional averages, not facility-specific measurements.</w:t>
      </w:r>
    </w:p>
    <w:p>
      <w:pPr>
        <w:pStyle w:val="ListParagraph"/>
        <w:numPr>
          <w:ilvl w:val="0"/>
          <w:numId w:val="2"/>
        </w:numPr>
        <w:spacing w:after="60"/>
      </w:pPr>
      <w:r>
        <w:rPr>
          <w:rFonts w:ascii="Times New Roman" w:cs="Times New Roman" w:eastAsia="Times New Roman" w:hAnsi="Times New Roman"/>
          <w:sz w:val="22"/>
          <w:szCs w:val="22"/>
        </w:rPr>
        <w:t xml:space="preserve">The digital colonialism framing in Section VIII is a desk-based comparative argument, not an original empirical contribution to that literature; it draws on this paper's own findings and the accompanying Indonesia desk review rather than new primary research into ownership structures, offtake agreements, or capital flows.</w:t>
      </w:r>
    </w:p>
    <w:p>
      <w:pPr>
        <w:spacing w:after="140" w:before="280"/>
      </w:pPr>
      <w:r>
        <w:rPr>
          <w:rFonts w:ascii="Times New Roman" w:cs="Times New Roman" w:eastAsia="Times New Roman" w:hAnsi="Times New Roman"/>
          <w:b/>
          <w:bCs/>
          <w:sz w:val="26"/>
          <w:szCs w:val="26"/>
        </w:rPr>
        <w:t xml:space="preserve">X. Conclusion</w:t>
      </w:r>
    </w:p>
    <w:p>
      <w:pPr>
        <w:spacing w:after="140"/>
        <w:jc w:val="both"/>
      </w:pPr>
      <w:r>
        <w:rPr>
          <w:rFonts w:ascii="Times New Roman" w:cs="Times New Roman" w:eastAsia="Times New Roman" w:hAnsi="Times New Roman"/>
          <w:b w:val="false"/>
          <w:bCs w:val="false"/>
          <w:i w:val="false"/>
          <w:iCs w:val="false"/>
          <w:sz w:val="22"/>
          <w:szCs w:val="22"/>
        </w:rPr>
        <w:t xml:space="preserve">A satellite-derived dataset of Malaysian data centres shows that a single area-to-power coefficient cannot describe the sector's capital stock, and that individually sub-threshold facility parcels can produce a corridor-level land-use impact that never enters environmental review or legislative discussion. Both findings point to the same underlying problem: the sector is currently measured and governed at a level of aggregation that obscures rather than reveals its true resource and environmental footprint, a pattern this paper situates within the broader digital colonialism literature on foreign-oriented digital infrastructure in the Global South (Section VIII). Facility-level disclosure, consistent with SEEA natural capital accounting principles, and corridor-level cumulative-impact review, are both feasible without new primary legislation, and would directly close the gaps documented here.</w:t>
      </w:r>
    </w:p>
    <w:p>
      <w:pPr>
        <w:spacing w:after="140" w:before="280"/>
      </w:pPr>
      <w:r>
        <w:rPr>
          <w:rFonts w:ascii="Times New Roman" w:cs="Times New Roman" w:eastAsia="Times New Roman" w:hAnsi="Times New Roman"/>
          <w:b/>
          <w:bCs/>
          <w:sz w:val="26"/>
          <w:szCs w:val="26"/>
        </w:rPr>
        <w:t xml:space="preserve">Data and Code Availability</w:t>
      </w:r>
    </w:p>
    <w:p>
      <w:pPr>
        <w:spacing w:after="140"/>
        <w:jc w:val="both"/>
      </w:pPr>
      <w:r>
        <w:rPr>
          <w:rFonts w:ascii="Times New Roman" w:cs="Times New Roman" w:eastAsia="Times New Roman" w:hAnsi="Times New Roman"/>
          <w:b w:val="false"/>
          <w:bCs w:val="false"/>
          <w:i w:val="false"/>
          <w:iCs w:val="false"/>
          <w:sz w:val="22"/>
          <w:szCs w:val="22"/>
        </w:rPr>
        <w:t xml:space="preserve">The satellite CV, deduplication, and resource-estimation pipeline is available at: [PLACEHOLDER: GitHub repository URL]. The underlying facility coordinate list, satellite imagery, and Hansard/policy document corpus are maintained separately by the project team and are not included in the linked repository.</w:t>
      </w:r>
    </w:p>
    <w:p>
      <w:pPr>
        <w:spacing w:after="140" w:before="280"/>
      </w:pPr>
      <w:r>
        <w:rPr>
          <w:rFonts w:ascii="Times New Roman" w:cs="Times New Roman" w:eastAsia="Times New Roman" w:hAnsi="Times New Roman"/>
          <w:b/>
          <w:bCs/>
          <w:sz w:val="26"/>
          <w:szCs w:val="26"/>
        </w:rPr>
        <w:t xml:space="preserve">Acknowledgment</w:t>
      </w:r>
    </w:p>
    <w:p>
      <w:pPr>
        <w:spacing w:after="140"/>
        <w:jc w:val="both"/>
      </w:pPr>
      <w:r>
        <w:rPr>
          <w:rFonts w:ascii="Times New Roman" w:cs="Times New Roman" w:eastAsia="Times New Roman" w:hAnsi="Times New Roman"/>
          <w:b w:val="false"/>
          <w:bCs w:val="false"/>
          <w:i w:val="false"/>
          <w:iCs w:val="false"/>
          <w:sz w:val="22"/>
          <w:szCs w:val="22"/>
        </w:rPr>
        <w:t xml:space="preserve">This work was supported by the Global South Alliance, implemented by Sinar Project PLT.</w:t>
      </w:r>
    </w:p>
    <w:p>
      <w:pPr>
        <w:spacing w:after="140" w:before="280"/>
      </w:pPr>
      <w:r>
        <w:rPr>
          <w:rFonts w:ascii="Times New Roman" w:cs="Times New Roman" w:eastAsia="Times New Roman" w:hAnsi="Times New Roman"/>
          <w:b/>
          <w:bCs/>
          <w:sz w:val="26"/>
          <w:szCs w:val="26"/>
        </w:rPr>
        <w:t xml:space="preserve">Suggested Venues</w:t>
      </w:r>
    </w:p>
    <w:p>
      <w:pPr>
        <w:spacing w:after="140"/>
        <w:jc w:val="both"/>
      </w:pPr>
      <w:r>
        <w:rPr>
          <w:rFonts w:ascii="Times New Roman" w:cs="Times New Roman" w:eastAsia="Times New Roman" w:hAnsi="Times New Roman"/>
          <w:b w:val="false"/>
          <w:bCs w:val="false"/>
          <w:i w:val="false"/>
          <w:iCs w:val="false"/>
          <w:sz w:val="22"/>
          <w:szCs w:val="22"/>
        </w:rPr>
        <w:t xml:space="preserve">This paper is scoped for a peer-reviewed environmental or resource economics journal rather than a remote sensing venue, given its theoretical framing (Section II) and policy discussion (Section VII). Candidate venues, to be verified for current fee structure and turnaround before submission: Ecological Economics and Resources Policy (both Elsevier, subscription track available, Q1 in their respective categories, typical first-decision turnaround in the 8 to 14 week range per general publisher guidance, exact figures not independently verified for this draft); Environment and Development Economics (Cambridge, Global South policy focus, no mandatory APC on standard track); World Development (short communication track, if the paper is trimmed further). As with the companion technical paper, an arXiv or SSRN preprint can provide open-access availability independent of the eventual journal's own access model. Fee and turnaround claims above should be re-verified directly against each journal's current author guidelines before submission, as these change over time and were not re-confirmed for this draft.</w:t>
      </w:r>
    </w:p>
    <w:p>
      <w:pPr>
        <w:spacing w:after="140" w:before="280"/>
      </w:pPr>
      <w:r>
        <w:rPr>
          <w:rFonts w:ascii="Times New Roman" w:cs="Times New Roman" w:eastAsia="Times New Roman" w:hAnsi="Times New Roman"/>
          <w:b/>
          <w:bCs/>
          <w:sz w:val="26"/>
          <w:szCs w:val="26"/>
        </w:rPr>
        <w:t xml:space="preserve">References</w:t>
      </w:r>
    </w:p>
    <w:p>
      <w:pPr>
        <w:spacing w:after="80"/>
        <w:ind w:left="260" w:hanging="260"/>
      </w:pPr>
      <w:r>
        <w:rPr>
          <w:rFonts w:ascii="Times New Roman" w:cs="Times New Roman" w:eastAsia="Times New Roman" w:hAnsi="Times New Roman"/>
          <w:sz w:val="20"/>
          <w:szCs w:val="20"/>
        </w:rPr>
        <w:t xml:space="preserve">[PLACEHOLDER] R. M. Solow, "Substitution and fixed proportions in the theory of capital," Review of Economic Studies, 1962 (vintage/putty-clay capital framework, page numbers to confirm).</w:t>
      </w:r>
    </w:p>
    <w:p>
      <w:pPr>
        <w:spacing w:after="80"/>
        <w:ind w:left="260" w:hanging="260"/>
      </w:pPr>
      <w:r>
        <w:rPr>
          <w:rFonts w:ascii="Times New Roman" w:cs="Times New Roman" w:eastAsia="Times New Roman" w:hAnsi="Times New Roman"/>
          <w:sz w:val="20"/>
          <w:szCs w:val="20"/>
        </w:rPr>
        <w:t xml:space="preserve">[PLACEHOLDER] R. U. Ayres and A. V. Kneese, "Production, consumption, and externalities," American Economic Review, 1969 (materials balance framework).</w:t>
      </w:r>
    </w:p>
    <w:p>
      <w:pPr>
        <w:spacing w:after="80"/>
        <w:ind w:left="260" w:hanging="260"/>
      </w:pPr>
      <w:r>
        <w:rPr>
          <w:rFonts w:ascii="Times New Roman" w:cs="Times New Roman" w:eastAsia="Times New Roman" w:hAnsi="Times New Roman"/>
          <w:sz w:val="20"/>
          <w:szCs w:val="20"/>
        </w:rPr>
        <w:t xml:space="preserve">[PLACEHOLDER] M. Fischer-Kowalski, "Society's metabolism: the intellectual history of materials flow analysis," Journal of Industrial Ecology, 1998.</w:t>
      </w:r>
    </w:p>
    <w:p>
      <w:pPr>
        <w:spacing w:after="80"/>
        <w:ind w:left="260" w:hanging="260"/>
      </w:pPr>
      <w:r>
        <w:rPr>
          <w:rFonts w:ascii="Times New Roman" w:cs="Times New Roman" w:eastAsia="Times New Roman" w:hAnsi="Times New Roman"/>
          <w:sz w:val="20"/>
          <w:szCs w:val="20"/>
        </w:rPr>
        <w:t xml:space="preserve">[PLACEHOLDER] United Nations, System of Environmental-Economic Accounting (SEEA) Central Framework, 2012.</w:t>
      </w:r>
    </w:p>
    <w:p>
      <w:pPr>
        <w:spacing w:after="80"/>
        <w:ind w:left="260" w:hanging="260"/>
      </w:pPr>
      <w:r>
        <w:rPr>
          <w:rFonts w:ascii="Times New Roman" w:cs="Times New Roman" w:eastAsia="Times New Roman" w:hAnsi="Times New Roman"/>
          <w:sz w:val="20"/>
          <w:szCs w:val="20"/>
        </w:rPr>
        <w:t xml:space="preserve">[PLACEHOLDER] S. Rosen, "Hedonic prices and implicit markets: product differentiation in pure competition," Journal of Political Economy, 1974.</w:t>
      </w:r>
    </w:p>
    <w:p>
      <w:pPr>
        <w:spacing w:after="80"/>
        <w:ind w:left="260" w:hanging="260"/>
      </w:pPr>
      <w:r>
        <w:rPr>
          <w:rFonts w:ascii="Times New Roman" w:cs="Times New Roman" w:eastAsia="Times New Roman" w:hAnsi="Times New Roman"/>
          <w:sz w:val="20"/>
          <w:szCs w:val="20"/>
        </w:rPr>
        <w:t xml:space="preserve">[PLACEHOLDER] M. Kwet, "Digital colonialism: US empire and the new imperialism in the Global South," Race &amp; Class, 2019 (page numbers to confirm).</w:t>
      </w:r>
    </w:p>
    <w:p>
      <w:pPr>
        <w:spacing w:after="80"/>
        <w:ind w:left="260" w:hanging="260"/>
      </w:pPr>
      <w:r>
        <w:rPr>
          <w:rFonts w:ascii="Times New Roman" w:cs="Times New Roman" w:eastAsia="Times New Roman" w:hAnsi="Times New Roman"/>
          <w:sz w:val="20"/>
          <w:szCs w:val="20"/>
        </w:rPr>
        <w:t xml:space="preserve">[PLACEHOLDER] Comparable source on data centre/cloud infrastructure political economy in the Global South, to be identified and confirmed before submission.</w:t>
      </w:r>
    </w:p>
    <w:p>
      <w:pPr>
        <w:spacing w:after="80"/>
        <w:ind w:left="260" w:hanging="260"/>
      </w:pPr>
      <w:r>
        <w:rPr>
          <w:rFonts w:ascii="Times New Roman" w:cs="Times New Roman" w:eastAsia="Times New Roman" w:hAnsi="Times New Roman"/>
          <w:sz w:val="20"/>
          <w:szCs w:val="20"/>
        </w:rPr>
        <w:t xml:space="preserve">[PLACEHOLDER] A. Descals et al., annual oil palm plantation maps for Southeast Asia, Earth System Science Data (exact year/volume to confirm).</w:t>
      </w:r>
    </w:p>
    <w:p>
      <w:pPr>
        <w:spacing w:after="80"/>
        <w:ind w:left="260" w:hanging="260"/>
      </w:pPr>
      <w:r>
        <w:rPr>
          <w:rFonts w:ascii="Times New Roman" w:cs="Times New Roman" w:eastAsia="Times New Roman" w:hAnsi="Times New Roman"/>
          <w:sz w:val="20"/>
          <w:szCs w:val="20"/>
        </w:rPr>
        <w:t xml:space="preserve">[PLACEHOLDER] Cross-reference to companion technical paper (GRSL manuscript) once assigned a DOI or preprint identifier.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2026-08-20T10:08:23.781Z</dcterms:created>
  <dcterms:modified xsi:type="dcterms:W3CDTF">2026-08-20T10:08:23.781Z</dcterms:modified>
</cp:coreProperties>
</file>

<file path=docProps/custom.xml><?xml version="1.0" encoding="utf-8"?>
<Properties xmlns="http://schemas.openxmlformats.org/officeDocument/2006/custom-properties" xmlns:vt="http://schemas.openxmlformats.org/officeDocument/2006/docPropsVTypes"/>
</file>