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40"/>
          <w:szCs w:val="40"/>
        </w:rPr>
        <w:t xml:space="preserve">Resource Security: Data Centre Resource Extraction and Autonomy in the Global South</w:t>
      </w:r>
    </w:p>
    <w:p>
      <w:pPr>
        <w:spacing w:after="300"/>
      </w:pPr>
      <w:r>
        <w:rPr>
          <w:rFonts w:ascii="Calibri" w:cs="Calibri" w:eastAsia="Calibri" w:hAnsi="Calibri"/>
          <w:b/>
          <w:bCs/>
          <w:color w:val="1F3864"/>
          <w:sz w:val="28"/>
          <w:szCs w:val="28"/>
        </w:rPr>
        <w:t xml:space="preserve">Full Project Methodology: Satellite Detection, Regulatory and Legislative Corpus Analysis, Resource-Extraction Estimation, and Land-Cover Change Pilot</w:t>
      </w:r>
    </w:p>
    <w:p>
      <w:pPr>
        <w:spacing w:after="160"/>
        <w:jc w:val="left"/>
      </w:pPr>
      <w:r>
        <w:rPr>
          <w:rFonts w:ascii="Calibri" w:cs="Calibri" w:eastAsia="Calibri" w:hAnsi="Calibri"/>
          <w:b w:val="false"/>
          <w:bCs w:val="false"/>
          <w:i/>
          <w:iCs/>
          <w:sz w:val="22"/>
          <w:szCs w:val="22"/>
        </w:rPr>
        <w:t xml:space="preserve">Global South Alliance, implemented by Sinar Project PLT.</w:t>
      </w:r>
    </w:p>
    <w:p>
      <w:pPr>
        <w:spacing w:after="160"/>
        <w:jc w:val="left"/>
      </w:pPr>
      <w:r>
        <w:rPr>
          <w:rFonts w:ascii="Calibri" w:cs="Calibri" w:eastAsia="Calibri" w:hAnsi="Calibri"/>
          <w:b w:val="false"/>
          <w:bCs w:val="false"/>
          <w:i/>
          <w:iCs/>
          <w:sz w:val="22"/>
          <w:szCs w:val="22"/>
        </w:rPr>
        <w:t xml:space="preserve">Prepared by Adhura H. Farouk, Principal Investigator. Country of implementation: Malaysia.</w:t>
      </w:r>
    </w:p>
    <w:p>
      <w:pPr>
        <w:spacing w:after="160"/>
        <w:jc w:val="left"/>
      </w:pPr>
      <w:r>
        <w:rPr>
          <w:rFonts w:ascii="Calibri" w:cs="Calibri" w:eastAsia="Calibri" w:hAnsi="Calibri"/>
          <w:b w:val="false"/>
          <w:bCs w:val="false"/>
          <w:i w:val="false"/>
          <w:iCs w:val="false"/>
          <w:sz w:val="22"/>
          <w:szCs w:val="22"/>
        </w:rPr>
        <w:t xml:space="preserve">Draft prepared July 2026, covering work carried out from March to July 2026.</w:t>
      </w:r>
    </w:p>
    <w:p>
      <w:r>
        <w:br w:type="page"/>
      </w:r>
    </w:p>
    <w:p>
      <w:pPr>
        <w:pStyle w:val="Heading1"/>
        <w:spacing w:after="160" w:before="320"/>
      </w:pPr>
      <w:r>
        <w:t xml:space="preserve">1. Purpose, Terminology, and Process Overview</w:t>
      </w:r>
    </w:p>
    <w:p>
      <w:pPr>
        <w:pStyle w:val="Heading2"/>
        <w:spacing w:after="120" w:before="240"/>
      </w:pPr>
      <w:r>
        <w:t xml:space="preserve">1.1 Purpose and Scope</w:t>
      </w:r>
    </w:p>
    <w:p>
      <w:pPr>
        <w:spacing w:after="160"/>
        <w:jc w:val="left"/>
      </w:pPr>
      <w:r>
        <w:rPr>
          <w:rFonts w:ascii="Calibri" w:cs="Calibri" w:eastAsia="Calibri" w:hAnsi="Calibri"/>
          <w:b w:val="false"/>
          <w:bCs w:val="false"/>
          <w:i w:val="false"/>
          <w:iCs w:val="false"/>
          <w:sz w:val="22"/>
          <w:szCs w:val="22"/>
        </w:rPr>
        <w:t xml:space="preserve">This document is the full technical methodology for the project, covering three verticals that together support the project's findings: a satellite computer-vision (CV) pipeline that detects and measures data centre building footprints and models their resource extraction (power, water, carbon), a regulatory and legislative document corpus analysis that maps the governance gap around data centre environmental review, and a land-cover change pilot that tests whether satellite-derived deforestation data can be added as a further resource-security indicator. It is written as a standalone technical reference: it should allow another researcher to reproduce each stage, understand exactly what each output figure does and does not represent, and independently evaluate the reliability of each finding.</w:t>
      </w:r>
    </w:p>
    <w:p>
      <w:pPr>
        <w:spacing w:after="160"/>
        <w:jc w:val="left"/>
      </w:pPr>
      <w:r>
        <w:rPr>
          <w:rFonts w:ascii="Calibri" w:cs="Calibri" w:eastAsia="Calibri" w:hAnsi="Calibri"/>
          <w:b w:val="false"/>
          <w:bCs w:val="false"/>
          <w:i w:val="false"/>
          <w:iCs w:val="false"/>
          <w:sz w:val="22"/>
          <w:szCs w:val="22"/>
        </w:rPr>
        <w:t xml:space="preserve">The three verticals are covered in turn: Sections 2 to 5 describe the satellite CV and resource-estimation pipeline (data acquisition, detection, deduplication, estimation); Section 6 describes the regulatory and legislative corpus methodology (environmental-review policy mapping and Hansard parliamentary-record mining); Section 7 describes the land-cover change pilot; Sections 8 and 9 cover availability, reproducibility, and known limitations across all three verticals.</w:t>
      </w:r>
    </w:p>
    <w:p>
      <w:pPr>
        <w:spacing w:after="160"/>
        <w:jc w:val="left"/>
      </w:pPr>
      <w:r>
        <w:rPr>
          <w:rFonts w:ascii="Calibri" w:cs="Calibri" w:eastAsia="Calibri" w:hAnsi="Calibri"/>
          <w:b w:val="false"/>
          <w:bCs w:val="false"/>
          <w:i w:val="false"/>
          <w:iCs w:val="false"/>
          <w:sz w:val="22"/>
          <w:szCs w:val="22"/>
        </w:rPr>
        <w:t xml:space="preserve">The pipeline code referenced throughout is released as an open-source repository accompanying this project (see Section 8). The underlying data corpus, satellite imagery, and Hansard/policy document collection are maintained separately and are not included in that repository.</w:t>
      </w:r>
    </w:p>
    <w:p>
      <w:pPr>
        <w:pStyle w:val="Heading2"/>
        <w:spacing w:after="120" w:before="240"/>
      </w:pPr>
      <w:r>
        <w:t xml:space="preserve">1.2 Terminology and Taxonomy</w:t>
      </w:r>
    </w:p>
    <w:p>
      <w:pPr>
        <w:spacing w:after="160"/>
        <w:jc w:val="left"/>
      </w:pPr>
      <w:r>
        <w:rPr>
          <w:rFonts w:ascii="Calibri" w:cs="Calibri" w:eastAsia="Calibri" w:hAnsi="Calibri"/>
          <w:b w:val="false"/>
          <w:bCs w:val="false"/>
          <w:i w:val="false"/>
          <w:iCs w:val="false"/>
          <w:sz w:val="22"/>
          <w:szCs w:val="22"/>
        </w:rPr>
        <w:t xml:space="preserve">The term “facility” is used loosely in public and government sources to mean different things at different stages of this project's pipeline. The table below fixes a consistent vocabulary, used throughout this document and in the companion papers and database documentation.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c>
          <w:tcPr>
            <w:tcW w:type="dxa" w:w="2600"/>
            <w:shd w:fill="1F3864" w:val="clear"/>
            <w:vAlign w:val="center"/>
          </w:tcPr>
          <w:p>
            <w:r>
              <w:rPr>
                <w:rFonts w:ascii="Calibri" w:cs="Calibri" w:eastAsia="Calibri" w:hAnsi="Calibri"/>
                <w:b/>
                <w:bCs/>
                <w:color w:val="FFFFFF"/>
                <w:sz w:val="20"/>
                <w:szCs w:val="20"/>
              </w:rPr>
              <w:t xml:space="preserve">Term</w:t>
            </w:r>
          </w:p>
        </w:tc>
        <w:tc>
          <w:tcPr>
            <w:tcW w:type="dxa" w:w="7200"/>
            <w:shd w:fill="1F3864" w:val="clear"/>
            <w:vAlign w:val="center"/>
          </w:tcPr>
          <w:p>
            <w:r>
              <w:rPr>
                <w:rFonts w:ascii="Calibri" w:cs="Calibri" w:eastAsia="Calibri" w:hAnsi="Calibri"/>
                <w:b/>
                <w:bCs/>
                <w:color w:val="FFFFFF"/>
                <w:sz w:val="20"/>
                <w:szCs w:val="20"/>
              </w:rPr>
              <w:t xml:space="preserve">Definition</w:t>
            </w:r>
          </w:p>
        </w:tc>
      </w:tr>
      <w:tr>
        <w:tc>
          <w:tcPr>
            <w:tcW w:type="dxa" w:w="2600"/>
            <w:vAlign w:val="center"/>
          </w:tcPr>
          <w:p>
            <w:r>
              <w:rPr>
                <w:rFonts w:ascii="Calibri" w:cs="Calibri" w:eastAsia="Calibri" w:hAnsi="Calibri"/>
                <w:b w:val="false"/>
                <w:bCs w:val="false"/>
                <w:color w:val="000000"/>
                <w:sz w:val="20"/>
                <w:szCs w:val="20"/>
              </w:rPr>
              <w:t xml:space="preserve">Raw candidate</w:t>
            </w:r>
          </w:p>
        </w:tc>
        <w:tc>
          <w:tcPr>
            <w:tcW w:type="dxa" w:w="7200"/>
            <w:vAlign w:val="center"/>
          </w:tcPr>
          <w:p>
            <w:r>
              <w:rPr>
                <w:rFonts w:ascii="Calibri" w:cs="Calibri" w:eastAsia="Calibri" w:hAnsi="Calibri"/>
                <w:b w:val="false"/>
                <w:bCs w:val="false"/>
                <w:color w:val="000000"/>
                <w:sz w:val="20"/>
                <w:szCs w:val="20"/>
              </w:rPr>
              <w:t xml:space="preserve">A named data centre entry compiled from operator disclosures, press releases, or industry trackers, before any geocoding or verification. 134 raw candidates were compiled.</w:t>
            </w:r>
          </w:p>
        </w:tc>
      </w:tr>
      <w:tr>
        <w:tc>
          <w:tcPr>
            <w:tcW w:type="dxa" w:w="2600"/>
            <w:vAlign w:val="center"/>
          </w:tcPr>
          <w:p>
            <w:r>
              <w:rPr>
                <w:rFonts w:ascii="Calibri" w:cs="Calibri" w:eastAsia="Calibri" w:hAnsi="Calibri"/>
                <w:b w:val="false"/>
                <w:bCs w:val="false"/>
                <w:color w:val="000000"/>
                <w:sz w:val="20"/>
                <w:szCs w:val="20"/>
              </w:rPr>
              <w:t xml:space="preserve">Ghost facility</w:t>
            </w:r>
          </w:p>
        </w:tc>
        <w:tc>
          <w:tcPr>
            <w:tcW w:type="dxa" w:w="7200"/>
            <w:vAlign w:val="center"/>
          </w:tcPr>
          <w:p>
            <w:r>
              <w:rPr>
                <w:rFonts w:ascii="Calibri" w:cs="Calibri" w:eastAsia="Calibri" w:hAnsi="Calibri"/>
                <w:b w:val="false"/>
                <w:bCs w:val="false"/>
                <w:color w:val="000000"/>
                <w:sz w:val="20"/>
                <w:szCs w:val="20"/>
              </w:rPr>
              <w:t xml:space="preserve">A raw candidate that could not be resolved to a physical location (address not found or API match failed) and was diverted to the policy/Hansard review rather than the satellite pipeline. 5 of 134 candidates.</w:t>
            </w:r>
          </w:p>
        </w:tc>
      </w:tr>
      <w:tr>
        <w:tc>
          <w:tcPr>
            <w:tcW w:type="dxa" w:w="2600"/>
            <w:vAlign w:val="center"/>
          </w:tcPr>
          <w:p>
            <w:r>
              <w:rPr>
                <w:rFonts w:ascii="Calibri" w:cs="Calibri" w:eastAsia="Calibri" w:hAnsi="Calibri"/>
                <w:b w:val="false"/>
                <w:bCs w:val="false"/>
                <w:color w:val="000000"/>
                <w:sz w:val="20"/>
                <w:szCs w:val="20"/>
              </w:rPr>
              <w:t xml:space="preserve">Geocoded target</w:t>
            </w:r>
          </w:p>
        </w:tc>
        <w:tc>
          <w:tcPr>
            <w:tcW w:type="dxa" w:w="7200"/>
            <w:vAlign w:val="center"/>
          </w:tcPr>
          <w:p>
            <w:r>
              <w:rPr>
                <w:rFonts w:ascii="Calibri" w:cs="Calibri" w:eastAsia="Calibri" w:hAnsi="Calibri"/>
                <w:b w:val="false"/>
                <w:bCs w:val="false"/>
                <w:color w:val="000000"/>
                <w:sz w:val="20"/>
                <w:szCs w:val="20"/>
              </w:rPr>
              <w:t xml:space="preserve">A raw candidate successfully resolved to a coordinate via the Google Places API. 129 of 134 candidates (134 minus the 5 ghost facilities).</w:t>
            </w:r>
          </w:p>
        </w:tc>
      </w:tr>
      <w:tr>
        <w:tc>
          <w:tcPr>
            <w:tcW w:type="dxa" w:w="2600"/>
            <w:vAlign w:val="center"/>
          </w:tcPr>
          <w:p>
            <w:r>
              <w:rPr>
                <w:rFonts w:ascii="Calibri" w:cs="Calibri" w:eastAsia="Calibri" w:hAnsi="Calibri"/>
                <w:b w:val="false"/>
                <w:bCs w:val="false"/>
                <w:color w:val="000000"/>
                <w:sz w:val="20"/>
                <w:szCs w:val="20"/>
              </w:rPr>
              <w:t xml:space="preserve">CV-measured facility</w:t>
            </w:r>
          </w:p>
        </w:tc>
        <w:tc>
          <w:tcPr>
            <w:tcW w:type="dxa" w:w="7200"/>
            <w:vAlign w:val="center"/>
          </w:tcPr>
          <w:p>
            <w:r>
              <w:rPr>
                <w:rFonts w:ascii="Calibri" w:cs="Calibri" w:eastAsia="Calibri" w:hAnsi="Calibri"/>
                <w:b w:val="false"/>
                <w:bCs w:val="false"/>
                <w:color w:val="000000"/>
                <w:sz w:val="20"/>
                <w:szCs w:val="20"/>
              </w:rPr>
              <w:t xml:space="preserve">A geocoded target for which the computer-vision pipeline produced a building-footprint measurement and an associated resource estimate. 124 of 129 geocoded targets.</w:t>
            </w:r>
          </w:p>
        </w:tc>
      </w:tr>
      <w:tr>
        <w:tc>
          <w:tcPr>
            <w:tcW w:type="dxa" w:w="2600"/>
            <w:vAlign w:val="center"/>
          </w:tcPr>
          <w:p>
            <w:r>
              <w:rPr>
                <w:rFonts w:ascii="Calibri" w:cs="Calibri" w:eastAsia="Calibri" w:hAnsi="Calibri"/>
                <w:b w:val="false"/>
                <w:bCs w:val="false"/>
                <w:color w:val="000000"/>
                <w:sz w:val="20"/>
                <w:szCs w:val="20"/>
              </w:rPr>
              <w:t xml:space="preserve">Deduplicated building</w:t>
            </w:r>
          </w:p>
        </w:tc>
        <w:tc>
          <w:tcPr>
            <w:tcW w:type="dxa" w:w="7200"/>
            <w:vAlign w:val="center"/>
          </w:tcPr>
          <w:p>
            <w:r>
              <w:rPr>
                <w:rFonts w:ascii="Calibri" w:cs="Calibri" w:eastAsia="Calibri" w:hAnsi="Calibri"/>
                <w:b w:val="false"/>
                <w:bCs w:val="false"/>
                <w:color w:val="000000"/>
                <w:sz w:val="20"/>
                <w:szCs w:val="20"/>
              </w:rPr>
              <w:t xml:space="preserve">A physical building, after collapsing CV-measured facilities that share a geocoded coordinate (co-located tenants in one building) into a single record. 71 of 124 CV-measured facilities.</w:t>
            </w:r>
          </w:p>
        </w:tc>
      </w:tr>
      <w:tr>
        <w:tc>
          <w:tcPr>
            <w:tcW w:type="dxa" w:w="2600"/>
            <w:vAlign w:val="center"/>
          </w:tcPr>
          <w:p>
            <w:r>
              <w:rPr>
                <w:rFonts w:ascii="Calibri" w:cs="Calibri" w:eastAsia="Calibri" w:hAnsi="Calibri"/>
                <w:b w:val="false"/>
                <w:bCs w:val="false"/>
                <w:color w:val="000000"/>
                <w:sz w:val="20"/>
                <w:szCs w:val="20"/>
              </w:rPr>
              <w:t xml:space="preserve">Tenant</w:t>
            </w:r>
          </w:p>
        </w:tc>
        <w:tc>
          <w:tcPr>
            <w:tcW w:type="dxa" w:w="7200"/>
            <w:vAlign w:val="center"/>
          </w:tcPr>
          <w:p>
            <w:r>
              <w:rPr>
                <w:rFonts w:ascii="Calibri" w:cs="Calibri" w:eastAsia="Calibri" w:hAnsi="Calibri"/>
                <w:b w:val="false"/>
                <w:bCs w:val="false"/>
                <w:color w:val="000000"/>
                <w:sz w:val="20"/>
                <w:szCs w:val="20"/>
              </w:rPr>
              <w:t xml:space="preserve">An operator or brand name associated with a deduplicated building; a building may have more than one tenant name where multiple operators share one physical structure.</w:t>
            </w:r>
          </w:p>
        </w:tc>
      </w:tr>
      <w:tr>
        <w:tc>
          <w:tcPr>
            <w:tcW w:type="dxa" w:w="2600"/>
            <w:vAlign w:val="center"/>
          </w:tcPr>
          <w:p>
            <w:r>
              <w:rPr>
                <w:rFonts w:ascii="Calibri" w:cs="Calibri" w:eastAsia="Calibri" w:hAnsi="Calibri"/>
                <w:b w:val="false"/>
                <w:bCs w:val="false"/>
                <w:color w:val="000000"/>
                <w:sz w:val="20"/>
                <w:szCs w:val="20"/>
              </w:rPr>
              <w:t xml:space="preserve">Disclosed facility</w:t>
            </w:r>
          </w:p>
        </w:tc>
        <w:tc>
          <w:tcPr>
            <w:tcW w:type="dxa" w:w="7200"/>
            <w:vAlign w:val="center"/>
          </w:tcPr>
          <w:p>
            <w:r>
              <w:rPr>
                <w:rFonts w:ascii="Calibri" w:cs="Calibri" w:eastAsia="Calibri" w:hAnsi="Calibri"/>
                <w:b w:val="false"/>
                <w:bCs w:val="false"/>
                <w:color w:val="000000"/>
                <w:sz w:val="20"/>
                <w:szCs w:val="20"/>
              </w:rPr>
              <w:t xml:space="preserve">A deduplicated building for which operator-reported megawatt capacity is publicly available, used directly rather than modelled. 8 of 71 buildings.</w:t>
            </w:r>
          </w:p>
        </w:tc>
      </w:tr>
      <w:tr>
        <w:tc>
          <w:tcPr>
            <w:tcW w:type="dxa" w:w="2600"/>
            <w:vAlign w:val="center"/>
          </w:tcPr>
          <w:p>
            <w:r>
              <w:rPr>
                <w:rFonts w:ascii="Calibri" w:cs="Calibri" w:eastAsia="Calibri" w:hAnsi="Calibri"/>
                <w:b w:val="false"/>
                <w:bCs w:val="false"/>
                <w:color w:val="000000"/>
                <w:sz w:val="20"/>
                <w:szCs w:val="20"/>
              </w:rPr>
              <w:t xml:space="preserve">Modelled facility</w:t>
            </w:r>
          </w:p>
        </w:tc>
        <w:tc>
          <w:tcPr>
            <w:tcW w:type="dxa" w:w="7200"/>
            <w:vAlign w:val="center"/>
          </w:tcPr>
          <w:p>
            <w:r>
              <w:rPr>
                <w:rFonts w:ascii="Calibri" w:cs="Calibri" w:eastAsia="Calibri" w:hAnsi="Calibri"/>
                <w:b w:val="false"/>
                <w:bCs w:val="false"/>
                <w:color w:val="000000"/>
                <w:sz w:val="20"/>
                <w:szCs w:val="20"/>
              </w:rPr>
              <w:t xml:space="preserve">A deduplicated building with no disclosed capacity, whose power is instead estimated from CV-detected footprint area via a fixed coefficient. 63 of 71 buildings (of which 21 further lack a confident detection or an unconfirmed/incorrect location and are excluded following independent manual review, leaving 42 modelled and included; see next row).</w:t>
            </w:r>
          </w:p>
        </w:tc>
      </w:tr>
      <w:tr>
        <w:tc>
          <w:tcPr>
            <w:tcW w:type="dxa" w:w="2600"/>
            <w:vAlign w:val="center"/>
          </w:tcPr>
          <w:p>
            <w:r>
              <w:rPr>
                <w:rFonts w:ascii="Calibri" w:cs="Calibri" w:eastAsia="Calibri" w:hAnsi="Calibri"/>
                <w:b w:val="false"/>
                <w:bCs w:val="false"/>
                <w:color w:val="000000"/>
                <w:sz w:val="20"/>
                <w:szCs w:val="20"/>
              </w:rPr>
              <w:t xml:space="preserve">Confident detection / excluded</w:t>
            </w:r>
          </w:p>
        </w:tc>
        <w:tc>
          <w:tcPr>
            <w:tcW w:type="dxa" w:w="7200"/>
            <w:vAlign w:val="center"/>
          </w:tcPr>
          <w:p>
            <w:r>
              <w:rPr>
                <w:rFonts w:ascii="Calibri" w:cs="Calibri" w:eastAsia="Calibri" w:hAnsi="Calibri"/>
                <w:b w:val="false"/>
                <w:bCs w:val="false"/>
                <w:color w:val="000000"/>
                <w:sz w:val="20"/>
                <w:szCs w:val="20"/>
              </w:rPr>
              <w:t xml:space="preserve">A deduplicated building's CV detection is either confident (passes the filtering and scoring described in Section 3.3, and independent manual verification of the footprint outline where the automated detector flagged uncertainty) or excluded (no candidate survived filtering or manual review found no confident building, or the location itself is unconfirmed). 49 of 71 buildings are included in the resource-estimation aggregate; 22 are excluded.</w:t>
            </w:r>
          </w:p>
        </w:tc>
      </w:tr>
    </w:tbl>
    <w:p>
      <w:pPr>
        <w:spacing w:after="160"/>
        <w:jc w:val="left"/>
      </w:pPr>
      <w:r>
        <w:rPr>
          <w:rFonts w:ascii="Calibri" w:cs="Calibri" w:eastAsia="Calibri" w:hAnsi="Calibri"/>
          <w:b w:val="false"/>
          <w:bCs w:val="false"/>
          <w:i w:val="false"/>
          <w:iCs w:val="false"/>
          <w:sz w:val="22"/>
          <w:szCs w:val="22"/>
        </w:rPr>
        <w:t xml:space="preserve">As a fixed reference, the counts relate as: 134 raw candidates → 129 geocoded targets (5 diverted as ghost facilities) → 124 CV-measured facilities → 71 deduplicated buildings (7 disclosed, 42 modelled and included, 22 excluded).</w:t>
      </w:r>
    </w:p>
    <w:p>
      <w:pPr>
        <w:pStyle w:val="Heading2"/>
        <w:spacing w:after="120" w:before="240"/>
      </w:pPr>
      <w:r>
        <w:t xml:space="preserve">1.3 Process Overview</w:t>
      </w:r>
    </w:p>
    <w:p>
      <w:pPr>
        <w:spacing w:after="160"/>
        <w:jc w:val="left"/>
      </w:pPr>
      <w:r>
        <w:rPr>
          <w:rFonts w:ascii="Calibri" w:cs="Calibri" w:eastAsia="Calibri" w:hAnsi="Calibri"/>
          <w:b w:val="false"/>
          <w:bCs w:val="false"/>
          <w:i w:val="false"/>
          <w:iCs w:val="false"/>
          <w:sz w:val="22"/>
          <w:szCs w:val="22"/>
        </w:rPr>
        <w:t xml:space="preserve">The diagram below summarises inputs, pipeline stages, and outputs across all three verticals described in this document.</w:t>
      </w:r>
    </w:p>
    <w:p>
      <w:pPr>
        <w:spacing w:after="160"/>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19500"/>
                    </a:xfrm>
                    <a:prstGeom prst="rect">
                      <a:avLst/>
                    </a:prstGeom>
                  </pic:spPr>
                </pic:pic>
              </a:graphicData>
            </a:graphic>
          </wp:inline>
        </w:drawing>
      </w:r>
    </w:p>
    <w:p>
      <w:pPr>
        <w:pBdr>
          <w:left w:val="single" w:color="999999" w:sz="12" w:space="8"/>
        </w:pBdr>
        <w:spacing w:after="160"/>
        <w:ind w:left="200"/>
      </w:pPr>
      <w:r>
        <w:rPr>
          <w:rFonts w:ascii="Calibri" w:cs="Calibri" w:eastAsia="Calibri" w:hAnsi="Calibri"/>
          <w:i/>
          <w:iCs/>
          <w:color w:val="555555"/>
          <w:sz w:val="20"/>
          <w:szCs w:val="20"/>
        </w:rPr>
        <w:t xml:space="preserve">The satellite/CV and regulatory/legislative verticals run independently and feed a shared facility set; the land-cover pilot draws its input facility cluster from the satellite/CV vertical's output. All three converge into the combined outputs used across this document, the two companion papers, and the Preliminary Results Report database package.</w:t>
      </w:r>
    </w:p>
    <w:p>
      <w:pPr>
        <w:pStyle w:val="Heading1"/>
        <w:spacing w:after="160" w:before="320"/>
      </w:pPr>
      <w:r>
        <w:t xml:space="preserve">2. Data Acquisition (Satellite Pipeline)</w:t>
      </w:r>
    </w:p>
    <w:p>
      <w:pPr>
        <w:pStyle w:val="Heading2"/>
        <w:spacing w:after="120" w:before="240"/>
      </w:pPr>
      <w:r>
        <w:t xml:space="preserve">2.1 Facility identification</w:t>
      </w:r>
    </w:p>
    <w:p>
      <w:pPr>
        <w:spacing w:after="160"/>
        <w:jc w:val="left"/>
      </w:pPr>
      <w:r>
        <w:rPr>
          <w:rFonts w:ascii="Calibri" w:cs="Calibri" w:eastAsia="Calibri" w:hAnsi="Calibri"/>
          <w:b w:val="false"/>
          <w:bCs w:val="false"/>
          <w:i w:val="false"/>
          <w:iCs w:val="false"/>
          <w:sz w:val="22"/>
          <w:szCs w:val="22"/>
        </w:rPr>
        <w:t xml:space="preserve">An initial list of 124 candidate data centre facilities operating or under construction in Malaysia was compiled from operator disclosures, press releases, and industry trackers, then supplemented with facilities identified through the regulatory and Hansard document review described in Section 6.</w:t>
      </w:r>
    </w:p>
    <w:p>
      <w:pPr>
        <w:pStyle w:val="Heading2"/>
        <w:spacing w:after="120" w:before="240"/>
      </w:pPr>
      <w:r>
        <w:t xml:space="preserve">2.2 Geocoding</w:t>
      </w:r>
    </w:p>
    <w:p>
      <w:pPr>
        <w:spacing w:after="160"/>
        <w:jc w:val="left"/>
      </w:pPr>
      <w:r>
        <w:rPr>
          <w:rFonts w:ascii="Calibri" w:cs="Calibri" w:eastAsia="Calibri" w:hAnsi="Calibri"/>
          <w:b w:val="false"/>
          <w:bCs w:val="false"/>
          <w:i w:val="false"/>
          <w:iCs w:val="false"/>
          <w:sz w:val="22"/>
          <w:szCs w:val="22"/>
        </w:rPr>
        <w:t xml:space="preserve">Facility addresses were resolved to coordinates via the Google Places API. Two systematic failure modes in this step were identified and are treated as important caveats on the resulting dataset rather than incidental errors:</w:t>
      </w:r>
    </w:p>
    <w:p>
      <w:pPr>
        <w:pStyle w:val="ListParagraph"/>
        <w:numPr>
          <w:ilvl w:val="0"/>
          <w:numId w:val="2"/>
        </w:numPr>
        <w:spacing w:after="80"/>
      </w:pPr>
      <w:r>
        <w:rPr>
          <w:rFonts w:ascii="Calibri" w:cs="Calibri" w:eastAsia="Calibri" w:hAnsi="Calibri"/>
          <w:b w:val="false"/>
          <w:bCs w:val="false"/>
          <w:sz w:val="22"/>
          <w:szCs w:val="22"/>
        </w:rPr>
        <w:t xml:space="preserve">Parent-company address fallback: where an operator does not disclose a facility's physical address, geocoding APIs can silently resolve to the parent company's registered corporate office instead, producing a coordinate with no relationship to the actual physical site. This was identified for Amazon Web Services facilities in this dataset.</w:t>
      </w:r>
    </w:p>
    <w:p>
      <w:pPr>
        <w:pStyle w:val="ListParagraph"/>
        <w:numPr>
          <w:ilvl w:val="0"/>
          <w:numId w:val="2"/>
        </w:numPr>
        <w:spacing w:after="80"/>
      </w:pPr>
      <w:r>
        <w:rPr>
          <w:rFonts w:ascii="Calibri" w:cs="Calibri" w:eastAsia="Calibri" w:hAnsi="Calibri"/>
          <w:b w:val="false"/>
          <w:bCs w:val="false"/>
          <w:sz w:val="22"/>
          <w:szCs w:val="22"/>
        </w:rPr>
        <w:t xml:space="preserve">Town-centroid fallback: for facilities in newly developed or undisclosed locations, geocoding can fall back to a generic town- or district-level centroid. This was identified for YTL facilities and was subsequently corrected through manual visual reconnaissance (Section 2.3).</w:t>
      </w:r>
    </w:p>
    <w:p>
      <w:pPr>
        <w:pBdr>
          <w:left w:val="single" w:color="999999" w:sz="12" w:space="8"/>
        </w:pBdr>
        <w:spacing w:after="160"/>
        <w:ind w:left="200"/>
      </w:pPr>
      <w:r>
        <w:rPr>
          <w:rFonts w:ascii="Calibri" w:cs="Calibri" w:eastAsia="Calibri" w:hAnsi="Calibri"/>
          <w:i/>
          <w:iCs/>
          <w:color w:val="555555"/>
          <w:sz w:val="20"/>
          <w:szCs w:val="20"/>
        </w:rPr>
        <w:t xml:space="preserve">Practical implication: any coordinate-derived dataset of this kind should not be treated as address-verified without an independent check of the kind performed in Section 3. Two or more facilities sharing identical or near-identical coordinates is a strong signal of one of these fallback failures, not evidence of co-location, and was in fact the primary signal used to detect the deduplication cases in Section 4.</w:t>
      </w:r>
    </w:p>
    <w:p>
      <w:pPr>
        <w:pStyle w:val="Heading2"/>
        <w:spacing w:after="120" w:before="240"/>
      </w:pPr>
      <w:r>
        <w:t xml:space="preserve">2.3 Manual visual correction</w:t>
      </w:r>
    </w:p>
    <w:p>
      <w:pPr>
        <w:spacing w:after="160"/>
        <w:jc w:val="left"/>
      </w:pPr>
      <w:r>
        <w:rPr>
          <w:rFonts w:ascii="Calibri" w:cs="Calibri" w:eastAsia="Calibri" w:hAnsi="Calibri"/>
          <w:b w:val="false"/>
          <w:bCs w:val="false"/>
          <w:i w:val="false"/>
          <w:iCs w:val="false"/>
          <w:sz w:val="22"/>
          <w:szCs w:val="22"/>
        </w:rPr>
        <w:t xml:space="preserve">Where geocoding was suspected to have failed (duplicate coordinates, implausible location relative to known industrial zones), the facility's approximate real location was re-derived using a visual-signature approach: known, confirmed building imagery from the same operator's other disclosed campuses was used as a reference to visually search satellite imagery of the surrounding area for a structurally similar building footprint. This resolved YTL's actual campus location. It was attempted for three AWS facilities that could not be re-located this way; those three facilities have no confirmed public satellite footprint and were excluded from the final resource-extraction estimates as unconfirmed locations rather than assigned a fallback coordinate.</w:t>
      </w:r>
    </w:p>
    <w:p>
      <w:pPr>
        <w:pStyle w:val="Heading2"/>
        <w:spacing w:after="120" w:before="240"/>
      </w:pPr>
      <w:r>
        <w:t xml:space="preserve">2.4 Imagery capture</w:t>
      </w:r>
    </w:p>
    <w:p>
      <w:pPr>
        <w:spacing w:after="160"/>
        <w:jc w:val="left"/>
      </w:pPr>
      <w:r>
        <w:rPr>
          <w:rFonts w:ascii="Calibri" w:cs="Calibri" w:eastAsia="Calibri" w:hAnsi="Calibri"/>
          <w:b w:val="false"/>
          <w:bCs w:val="false"/>
          <w:i w:val="false"/>
          <w:iCs w:val="false"/>
          <w:sz w:val="22"/>
          <w:szCs w:val="22"/>
        </w:rPr>
        <w:t xml:space="preserve">For each geocoded facility, a top-down satellite image was captured via the Google Static Maps API, centred on the facility coordinate, at a fixed zoom level and a fixed output dimension of 600×600 pixels. A fixed pixel-to-area conversion factor (0.348 m² per pixel at the zoom level used) was applied throughout.</w:t>
      </w:r>
    </w:p>
    <w:p>
      <w:pPr>
        <w:pStyle w:val="Heading1"/>
        <w:spacing w:after="160" w:before="320"/>
      </w:pPr>
      <w:r>
        <w:t xml:space="preserve">3. Computer-Vision Building-Footprint Detection</w:t>
      </w:r>
    </w:p>
    <w:p>
      <w:pPr>
        <w:pStyle w:val="Heading2"/>
        <w:spacing w:after="120" w:before="240"/>
      </w:pPr>
      <w:r>
        <w:t xml:space="preserve">3.1 Original detector and why it was replaced</w:t>
      </w:r>
    </w:p>
    <w:p>
      <w:pPr>
        <w:spacing w:after="160"/>
        <w:jc w:val="left"/>
      </w:pPr>
      <w:r>
        <w:rPr>
          <w:rFonts w:ascii="Calibri" w:cs="Calibri" w:eastAsia="Calibri" w:hAnsi="Calibri"/>
          <w:b w:val="false"/>
          <w:bCs w:val="false"/>
          <w:i w:val="false"/>
          <w:iCs w:val="false"/>
          <w:sz w:val="22"/>
          <w:szCs w:val="22"/>
        </w:rPr>
        <w:t xml:space="preserve">The original pipeline (satellite_cv_pipeline.py) identified a facility's building footprint by greyscale-thresholding the captured image and taking the single largest contiguous dark region in the frame as the building. An audit of this output (Section 3.2) found this approach frequently captured shadows, roads, parking areas, tree canopy, or simply the largest dark region regardless of whether it corresponded to a building at all. In several cases the same degenerate bounding box shape recurred across unrelated facilities, indicating the detector was defaulting to a fallback pattern rather than measuring the actual site.</w:t>
      </w:r>
    </w:p>
    <w:p>
      <w:pPr>
        <w:pStyle w:val="Heading2"/>
        <w:spacing w:after="120" w:before="240"/>
      </w:pPr>
      <w:r>
        <w:t xml:space="preserve">3.2 Automated validation of the original detector</w:t>
      </w:r>
    </w:p>
    <w:p>
      <w:pPr>
        <w:spacing w:after="160"/>
        <w:jc w:val="left"/>
      </w:pPr>
      <w:r>
        <w:rPr>
          <w:rFonts w:ascii="Calibri" w:cs="Calibri" w:eastAsia="Calibri" w:hAnsi="Calibri"/>
          <w:b w:val="false"/>
          <w:bCs w:val="false"/>
          <w:i w:val="false"/>
          <w:iCs w:val="false"/>
          <w:sz w:val="22"/>
          <w:szCs w:val="22"/>
        </w:rPr>
        <w:t xml:space="preserve">Before any redesign, an automated validation pass was built (validate_bboxes.py) to quantify the scale of the problem across the full facility set, applying the following checks to each existing bounding box:</w:t>
      </w:r>
    </w:p>
    <w:p>
      <w:pPr>
        <w:pStyle w:val="ListParagraph"/>
        <w:numPr>
          <w:ilvl w:val="0"/>
          <w:numId w:val="2"/>
        </w:numPr>
        <w:spacing w:after="80"/>
      </w:pPr>
      <w:r>
        <w:rPr>
          <w:rFonts w:ascii="Calibri" w:cs="Calibri" w:eastAsia="Calibri" w:hAnsi="Calibri"/>
          <w:b w:val="false"/>
          <w:bCs w:val="false"/>
          <w:sz w:val="22"/>
          <w:szCs w:val="22"/>
        </w:rPr>
        <w:t xml:space="preserve">Border-touching / full-frame box: bounding box touches 3+ image edges, indicating the threshold captured most or all of the frame rather than a discrete object.</w:t>
      </w:r>
    </w:p>
    <w:p>
      <w:pPr>
        <w:pStyle w:val="ListParagraph"/>
        <w:numPr>
          <w:ilvl w:val="0"/>
          <w:numId w:val="2"/>
        </w:numPr>
        <w:spacing w:after="80"/>
      </w:pPr>
      <w:r>
        <w:rPr>
          <w:rFonts w:ascii="Calibri" w:cs="Calibri" w:eastAsia="Calibri" w:hAnsi="Calibri"/>
          <w:b w:val="false"/>
          <w:bCs w:val="false"/>
          <w:sz w:val="22"/>
          <w:szCs w:val="22"/>
        </w:rPr>
        <w:t xml:space="preserve">Tiny box: bounding box area below a minimum plausible building footprint at the capture zoom level.</w:t>
      </w:r>
    </w:p>
    <w:p>
      <w:pPr>
        <w:pStyle w:val="ListParagraph"/>
        <w:numPr>
          <w:ilvl w:val="0"/>
          <w:numId w:val="2"/>
        </w:numPr>
        <w:spacing w:after="80"/>
      </w:pPr>
      <w:r>
        <w:rPr>
          <w:rFonts w:ascii="Calibri" w:cs="Calibri" w:eastAsia="Calibri" w:hAnsi="Calibri"/>
          <w:b w:val="false"/>
          <w:bCs w:val="false"/>
          <w:sz w:val="22"/>
          <w:szCs w:val="22"/>
        </w:rPr>
        <w:t xml:space="preserve">Extreme aspect ratio: width-to-height ratio beyond a plausible building shape, suggesting a linear feature (road, tree line, or artifact) was captured instead.</w:t>
      </w:r>
    </w:p>
    <w:p>
      <w:pPr>
        <w:pStyle w:val="ListParagraph"/>
        <w:numPr>
          <w:ilvl w:val="0"/>
          <w:numId w:val="2"/>
        </w:numPr>
        <w:spacing w:after="80"/>
      </w:pPr>
      <w:r>
        <w:rPr>
          <w:rFonts w:ascii="Calibri" w:cs="Calibri" w:eastAsia="Calibri" w:hAnsi="Calibri"/>
          <w:b w:val="false"/>
          <w:bCs w:val="false"/>
          <w:sz w:val="22"/>
          <w:szCs w:val="22"/>
        </w:rPr>
        <w:t xml:space="preserve">Vegetation / water fraction: HSV colour analysis of the boxed region to detect if it is dominated by green (vegetation) or blue (water) hues rather than built structure.</w:t>
      </w:r>
    </w:p>
    <w:p>
      <w:pPr>
        <w:pStyle w:val="ListParagraph"/>
        <w:numPr>
          <w:ilvl w:val="0"/>
          <w:numId w:val="2"/>
        </w:numPr>
        <w:spacing w:after="80"/>
      </w:pPr>
      <w:r>
        <w:rPr>
          <w:rFonts w:ascii="Calibri" w:cs="Calibri" w:eastAsia="Calibri" w:hAnsi="Calibri"/>
          <w:b w:val="false"/>
          <w:bCs w:val="false"/>
          <w:sz w:val="22"/>
          <w:szCs w:val="22"/>
        </w:rPr>
        <w:t xml:space="preserve">Low structural edge density: Canny edge density inside the box, since built structures show more internal edge structure than bare land, water, or uniform vegetation canopy.</w:t>
      </w:r>
    </w:p>
    <w:p>
      <w:pPr>
        <w:pStyle w:val="ListParagraph"/>
        <w:numPr>
          <w:ilvl w:val="0"/>
          <w:numId w:val="2"/>
        </w:numPr>
        <w:spacing w:after="80"/>
      </w:pPr>
      <w:r>
        <w:rPr>
          <w:rFonts w:ascii="Calibri" w:cs="Calibri" w:eastAsia="Calibri" w:hAnsi="Calibri"/>
          <w:b w:val="false"/>
          <w:bCs w:val="false"/>
          <w:sz w:val="22"/>
          <w:szCs w:val="22"/>
        </w:rPr>
        <w:t xml:space="preserve">Duplicate-area clustering: facilities where four or more otherwise-unrelated sites shared an identical extracted area value, indicating a degenerate default shape rather than a genuine per-site measurement.</w:t>
      </w:r>
    </w:p>
    <w:p>
      <w:pPr>
        <w:spacing w:after="160"/>
        <w:jc w:val="left"/>
      </w:pPr>
      <w:r>
        <w:rPr>
          <w:rFonts w:ascii="Calibri" w:cs="Calibri" w:eastAsia="Calibri" w:hAnsi="Calibri"/>
          <w:b w:val="false"/>
          <w:bCs w:val="false"/>
          <w:i w:val="false"/>
          <w:iCs w:val="false"/>
          <w:sz w:val="22"/>
          <w:szCs w:val="22"/>
        </w:rPr>
        <w:t xml:space="preserve">This automated check, combined with manual random-sample visual confirmation as requested by the project's grantor review, found that the majority of bounding boxes in the original output did not reliably enclose the actual physical building, justifying a full redesign rather than a targeted patch.</w:t>
      </w:r>
    </w:p>
    <w:p>
      <w:pPr>
        <w:pStyle w:val="Heading2"/>
        <w:spacing w:after="120" w:before="240"/>
      </w:pPr>
      <w:r>
        <w:t xml:space="preserve">3.3 Redesigned detector (improved_cv.py)</w:t>
      </w:r>
    </w:p>
    <w:p>
      <w:pPr>
        <w:spacing w:after="160"/>
        <w:jc w:val="left"/>
      </w:pPr>
      <w:r>
        <w:rPr>
          <w:rFonts w:ascii="Calibri" w:cs="Calibri" w:eastAsia="Calibri" w:hAnsi="Calibri"/>
          <w:b w:val="false"/>
          <w:bCs w:val="false"/>
          <w:i w:val="false"/>
          <w:iCs w:val="false"/>
          <w:sz w:val="22"/>
          <w:szCs w:val="22"/>
        </w:rPr>
        <w:t xml:space="preserve">The redesigned detector changes the approach in four ways:</w:t>
      </w:r>
    </w:p>
    <w:p>
      <w:pPr>
        <w:pStyle w:val="ListParagraph"/>
        <w:numPr>
          <w:ilvl w:val="0"/>
          <w:numId w:val="2"/>
        </w:numPr>
        <w:spacing w:after="80"/>
      </w:pPr>
      <w:r>
        <w:rPr>
          <w:rFonts w:ascii="Calibri" w:cs="Calibri" w:eastAsia="Calibri" w:hAnsi="Calibri"/>
          <w:b w:val="false"/>
          <w:bCs w:val="false"/>
          <w:sz w:val="22"/>
          <w:szCs w:val="22"/>
        </w:rPr>
        <w:t xml:space="preserve">Vegetation/water masking: pixels in the HSV green range (hue 35–85, saturation &gt; 40) and blue range (hue 90–130, saturation &gt; 40) are excluded before thresholding, so tree canopy and water bodies cannot be picked up as “structure.”</w:t>
      </w:r>
    </w:p>
    <w:p>
      <w:pPr>
        <w:pStyle w:val="ListParagraph"/>
        <w:numPr>
          <w:ilvl w:val="0"/>
          <w:numId w:val="2"/>
        </w:numPr>
        <w:spacing w:after="80"/>
      </w:pPr>
      <w:r>
        <w:rPr>
          <w:rFonts w:ascii="Calibri" w:cs="Calibri" w:eastAsia="Calibri" w:hAnsi="Calibri"/>
          <w:b w:val="false"/>
          <w:bCs w:val="false"/>
          <w:sz w:val="22"/>
          <w:szCs w:val="22"/>
        </w:rPr>
        <w:t xml:space="preserve">Dual-threshold candidate generation: Otsu's method is applied twice, once to find dark-roof candidates (e.g. dark membrane roofing, parking structures) and once to find bright-roof candidates (e.g. metal or white membrane roofing), since a single threshold direction systematically misses one class of roof material.</w:t>
      </w:r>
    </w:p>
    <w:p>
      <w:pPr>
        <w:pStyle w:val="ListParagraph"/>
        <w:numPr>
          <w:ilvl w:val="0"/>
          <w:numId w:val="2"/>
        </w:numPr>
        <w:spacing w:after="80"/>
      </w:pPr>
      <w:r>
        <w:rPr>
          <w:rFonts w:ascii="Calibri" w:cs="Calibri" w:eastAsia="Calibri" w:hAnsi="Calibri"/>
          <w:b w:val="false"/>
          <w:bCs w:val="false"/>
          <w:sz w:val="22"/>
          <w:szCs w:val="22"/>
        </w:rPr>
        <w:t xml:space="preserve">Multi-factor candidate filtering: each candidate contour is filtered on minimum area, border-touch count, maximum bounding-box area fraction, maximum aspect ratio, minimum “compactness” (contour area divided by bounding-box area, penalising irregular non-building shapes), and residual vegetation/water fraction within the candidate region.</w:t>
      </w:r>
    </w:p>
    <w:p>
      <w:pPr>
        <w:pStyle w:val="ListParagraph"/>
        <w:numPr>
          <w:ilvl w:val="0"/>
          <w:numId w:val="2"/>
        </w:numPr>
        <w:spacing w:after="80"/>
      </w:pPr>
      <w:r>
        <w:rPr>
          <w:rFonts w:ascii="Calibri" w:cs="Calibri" w:eastAsia="Calibri" w:hAnsi="Calibri"/>
          <w:b w:val="false"/>
          <w:bCs w:val="false"/>
          <w:sz w:val="22"/>
          <w:szCs w:val="22"/>
        </w:rPr>
        <w:t xml:space="preserve">Confidence scoring instead of forced selection: surviving candidates are scored as (bounding-box area fraction) × (compactness) × (1 − 0.6 × normalised distance from image centre), reflecting the fact that the capture is centred on the facility's geocoded coordinate by construction. If no candidate survives filtering, the detector returns no detection rather than forcing a guess; this abstention behaviour is a deliberate design change from the original detector, which always returned a box.</w:t>
      </w:r>
    </w:p>
    <w:p>
      <w:pPr>
        <w:spacing w:after="160"/>
        <w:jc w:val="left"/>
      </w:pPr>
      <w:r>
        <w:rPr>
          <w:rFonts w:ascii="Calibri" w:cs="Calibri" w:eastAsia="Calibri" w:hAnsi="Calibri"/>
          <w:b w:val="false"/>
          <w:bCs w:val="false"/>
          <w:i w:val="false"/>
          <w:iCs w:val="false"/>
          <w:sz w:val="22"/>
          <w:szCs w:val="22"/>
        </w:rPr>
        <w:t xml:space="preserve">Each detection carries a numeric confidence score and explicit flags (e.g. FAR_FROM_CENTER, LOW_COMPACTNESS) rather than being presented as a binary confirmed/unconfirmed result, so downstream consumers of the dataset can apply their own confidence threshold rather than inheriting an undocumented one.</w:t>
      </w:r>
    </w:p>
    <w:p>
      <w:pPr>
        <w:pStyle w:val="Heading2"/>
        <w:spacing w:after="120" w:before="240"/>
      </w:pPr>
      <w:r>
        <w:t xml:space="preserve">3.4 Re-audit after redesign</w:t>
      </w:r>
    </w:p>
    <w:p>
      <w:pPr>
        <w:spacing w:after="160"/>
        <w:jc w:val="left"/>
      </w:pPr>
      <w:r>
        <w:rPr>
          <w:rFonts w:ascii="Calibri" w:cs="Calibri" w:eastAsia="Calibri" w:hAnsi="Calibri"/>
          <w:b w:val="false"/>
          <w:bCs w:val="false"/>
          <w:i w:val="false"/>
          <w:iCs w:val="false"/>
          <w:sz w:val="22"/>
          <w:szCs w:val="22"/>
        </w:rPr>
        <w:t xml:space="preserve">The redesigned detector was rerun across the full facility set and the output was re-audited against the same checks used in Section 3.2, plus manual random-sample visual confirmation. This is documented in the project's bounding-box validation reports (v1 and v2) held alongside the geospatial dataset.</w:t>
      </w:r>
    </w:p>
    <w:p>
      <w:pPr>
        <w:pStyle w:val="Heading2"/>
        <w:spacing w:after="120" w:before="240"/>
      </w:pPr>
      <w:r>
        <w:t xml:space="preserve">3.5 Independent verification and QA re-check</w:t>
      </w:r>
    </w:p>
    <w:p>
      <w:pPr>
        <w:spacing w:after="160"/>
        <w:jc w:val="left"/>
      </w:pPr>
      <w:r>
        <w:rPr>
          <w:rFonts w:ascii="Calibri" w:cs="Calibri" w:eastAsia="Calibri" w:hAnsi="Calibri"/>
          <w:b w:val="false"/>
          <w:bCs w:val="false"/>
          <w:i w:val="false"/>
          <w:iCs w:val="false"/>
          <w:sz w:val="22"/>
          <w:szCs w:val="22"/>
        </w:rPr>
        <w:t xml:space="preserve">A further, independent verification pass was run against the deduplicated 71-building database, in two rounds, and is documented in full in a standalone Verification and QA Report held alongside this document. The method and headline findings are summarised here so the check is part of the reproducible pipeline record, not only a one-off attachment.</w:t>
      </w:r>
    </w:p>
    <w:p>
      <w:pPr>
        <w:spacing w:after="160"/>
        <w:jc w:val="left"/>
      </w:pPr>
      <w:r>
        <w:rPr>
          <w:rFonts w:ascii="Calibri" w:cs="Calibri" w:eastAsia="Calibri" w:hAnsi="Calibri"/>
          <w:b w:val="false"/>
          <w:bCs w:val="false"/>
          <w:i w:val="false"/>
          <w:iCs w:val="false"/>
          <w:sz w:val="22"/>
          <w:szCs w:val="22"/>
        </w:rPr>
        <w:t xml:space="preserve">The first round was a 10% manual sample (7 of 71 buildings, fixed random seed): each sampled building's recorded City field was checked against its coordinate for plausibility, and its bounding-box image was visually inspected against the raw capture. This surfaced two buildings with a clearly invalid bounding box carrying no CV_Flags value at all, indicating a false-negative rate in the automated flagging system on the order of one in three among unflagged records in that small sample.</w:t>
      </w:r>
    </w:p>
    <w:p>
      <w:pPr>
        <w:spacing w:after="160"/>
        <w:jc w:val="left"/>
      </w:pPr>
      <w:r>
        <w:rPr>
          <w:rFonts w:ascii="Calibri" w:cs="Calibri" w:eastAsia="Calibri" w:hAnsi="Calibri"/>
          <w:b w:val="false"/>
          <w:bCs w:val="false"/>
          <w:i w:val="false"/>
          <w:iCs w:val="false"/>
          <w:sz w:val="22"/>
          <w:szCs w:val="22"/>
        </w:rPr>
        <w:t xml:space="preserve">Following that finding, a second round re-ran two checks across the full 71-building dataset rather than the 10% sample alone. A geometric re-check (border-touching/full-frame box detection, from the same logic as Section 3.2 but applied to the redesigned detector's current output rather than the original detector's) found 4 further buildings with an unflagged border-hugging or full-frame box (5.6% of 71). A coordinate-region plausibility check, comparing each building's coordinate against the Malaysian state or region implied by its City field, found 5 genuine mismatches, one of which, Digital Halo JHB1, resolves to a coordinate in Metro Manila, Philippines rather than Malaysia. That facility has been reclassified as EXCLUDED in the master database pending re-geocoding; it was previously included as a modelled facility.</w:t>
      </w:r>
    </w:p>
    <w:p>
      <w:pPr>
        <w:pBdr>
          <w:left w:val="single" w:color="999999" w:sz="12" w:space="8"/>
        </w:pBdr>
        <w:spacing w:after="160"/>
        <w:ind w:left="200"/>
      </w:pPr>
      <w:r>
        <w:rPr>
          <w:rFonts w:ascii="Calibri" w:cs="Calibri" w:eastAsia="Calibri" w:hAnsi="Calibri"/>
          <w:i/>
          <w:iCs/>
          <w:color w:val="555555"/>
          <w:sz w:val="20"/>
          <w:szCs w:val="20"/>
        </w:rPr>
        <w:t xml:space="preserve">In total, 9 of 71 buildings (12.7%) were flagged by this independent verification pass across both rounds; none had been caught by the original detection pipeline's own checks. A further 2 buildings (STT Johor 1 and Empyrion Digital MY1) were subsequently found to share the same out-of-country coordinate failure during the land-cover change rollout (Section 7.5), bringing the total to 11 of 71 (15.5%) across three independent discovery routes. This does not overturn the pipeline's detection validation in Sections 3.2 and 3.4, which covered a larger sample using different checks, but it does mean the current dataset should be described as reviewed and substantially reliable, not fully verified. The full facility-by-facility findings, and the recommendation to add the coordinate-region check as a standing pipeline step, are in the standalone Verification and QA Report.</w:t>
      </w:r>
    </w:p>
    <w:p>
      <w:pPr>
        <w:pStyle w:val="Heading1"/>
        <w:spacing w:after="160" w:before="320"/>
      </w:pPr>
      <w:r>
        <w:t xml:space="preserve">4. Deduplication</w:t>
      </w:r>
    </w:p>
    <w:p>
      <w:pPr>
        <w:spacing w:after="160"/>
        <w:jc w:val="left"/>
      </w:pPr>
      <w:r>
        <w:rPr>
          <w:rFonts w:ascii="Calibri" w:cs="Calibri" w:eastAsia="Calibri" w:hAnsi="Calibri"/>
          <w:b w:val="false"/>
          <w:bCs w:val="false"/>
          <w:i w:val="false"/>
          <w:iCs w:val="false"/>
          <w:sz w:val="22"/>
          <w:szCs w:val="22"/>
        </w:rPr>
        <w:t xml:space="preserve">Cross-referencing duplicate-coordinate clusters identified in Section 2.2 against known multi-tenant developments found that a substantial share of the initial named-facility list represented co-located tenants within the same physical building or campus, rather than physically distinct sites. Counting each tenant as a separate facility would double- or multiple-count the same physical resource footprint.</w:t>
      </w:r>
    </w:p>
    <w:p>
      <w:pPr>
        <w:pStyle w:val="Heading2"/>
        <w:spacing w:after="120" w:before="240"/>
      </w:pPr>
      <w:r>
        <w:t xml:space="preserve">4.1 Method (dedup_buildings.py)</w:t>
      </w:r>
    </w:p>
    <w:p>
      <w:pPr>
        <w:spacing w:after="160"/>
        <w:jc w:val="left"/>
      </w:pPr>
      <w:r>
        <w:rPr>
          <w:rFonts w:ascii="Calibri" w:cs="Calibri" w:eastAsia="Calibri" w:hAnsi="Calibri"/>
          <w:b w:val="false"/>
          <w:bCs w:val="false"/>
          <w:i w:val="false"/>
          <w:iCs w:val="false"/>
          <w:sz w:val="22"/>
          <w:szCs w:val="22"/>
        </w:rPr>
        <w:t xml:space="preserve">Facilities were grouped by exact geocoded coordinate. Within each coordinate group, the deduplication logic applied the following rules:</w:t>
      </w:r>
    </w:p>
    <w:p>
      <w:pPr>
        <w:pStyle w:val="ListParagraph"/>
        <w:numPr>
          <w:ilvl w:val="0"/>
          <w:numId w:val="2"/>
        </w:numPr>
        <w:spacing w:after="80"/>
      </w:pPr>
      <w:r>
        <w:rPr>
          <w:rFonts w:ascii="Calibri" w:cs="Calibri" w:eastAsia="Calibri" w:hAnsi="Calibri"/>
          <w:b w:val="false"/>
          <w:bCs w:val="false"/>
          <w:sz w:val="22"/>
          <w:szCs w:val="22"/>
        </w:rPr>
        <w:t xml:space="preserve">Default behaviour: all tenant names sharing a coordinate are collapsed into a single physical-building row, retaining all tenant names for reference.</w:t>
      </w:r>
    </w:p>
    <w:p>
      <w:pPr>
        <w:pStyle w:val="ListParagraph"/>
        <w:numPr>
          <w:ilvl w:val="0"/>
          <w:numId w:val="2"/>
        </w:numPr>
        <w:spacing w:after="80"/>
      </w:pPr>
      <w:r>
        <w:rPr>
          <w:rFonts w:ascii="Calibri" w:cs="Calibri" w:eastAsia="Calibri" w:hAnsi="Calibri"/>
          <w:b w:val="false"/>
          <w:bCs w:val="false"/>
          <w:sz w:val="22"/>
          <w:szCs w:val="22"/>
        </w:rPr>
        <w:t xml:space="preserve">Explicit split exception: campuses independently verified (via operator press release or per-building disclosed capacity) to comprise genuinely distinct physical buildings sharing one imprecise shared geocode are kept as separate rows rather than collapsed. In this dataset this applied to a single multi-building AirTrunk campus (three buildings, individually disclosed capacities).</w:t>
      </w:r>
    </w:p>
    <w:p>
      <w:pPr>
        <w:pStyle w:val="ListParagraph"/>
        <w:numPr>
          <w:ilvl w:val="0"/>
          <w:numId w:val="2"/>
        </w:numPr>
        <w:spacing w:after="80"/>
      </w:pPr>
      <w:r>
        <w:rPr>
          <w:rFonts w:ascii="Calibri" w:cs="Calibri" w:eastAsia="Calibri" w:hAnsi="Calibri"/>
          <w:b w:val="false"/>
          <w:bCs w:val="false"/>
          <w:sz w:val="22"/>
          <w:szCs w:val="22"/>
        </w:rPr>
        <w:t xml:space="preserve">Explicit redundant-entry removal: sub-building entries that had already been separately disclosed and summed into a single campus-level capacity figure elsewhere in the source list were dropped to avoid double-counting the same physical campus under two different row structures.</w:t>
      </w:r>
    </w:p>
    <w:p>
      <w:pPr>
        <w:spacing w:after="160"/>
        <w:jc w:val="left"/>
      </w:pPr>
      <w:r>
        <w:rPr>
          <w:rFonts w:ascii="Calibri" w:cs="Calibri" w:eastAsia="Calibri" w:hAnsi="Calibri"/>
          <w:b w:val="false"/>
          <w:bCs w:val="false"/>
          <w:i w:val="false"/>
          <w:iCs w:val="false"/>
          <w:sz w:val="22"/>
          <w:szCs w:val="22"/>
        </w:rPr>
        <w:t xml:space="preserve">This reduced the working facility count from 124 named entries to 71 deduplicated physical-building rows.</w:t>
      </w:r>
    </w:p>
    <w:p>
      <w:pPr>
        <w:pStyle w:val="Heading2"/>
        <w:spacing w:after="120" w:before="240"/>
      </w:pPr>
      <w:r>
        <w:t xml:space="preserve">4.2 Reconciliation with disclosed capacity</w:t>
      </w:r>
    </w:p>
    <w:p>
      <w:pPr>
        <w:spacing w:after="160"/>
        <w:jc w:val="left"/>
      </w:pPr>
      <w:r>
        <w:rPr>
          <w:rFonts w:ascii="Calibri" w:cs="Calibri" w:eastAsia="Calibri" w:hAnsi="Calibri"/>
          <w:b w:val="false"/>
          <w:bCs w:val="false"/>
          <w:i w:val="false"/>
          <w:iCs w:val="false"/>
          <w:sz w:val="22"/>
          <w:szCs w:val="22"/>
        </w:rPr>
        <w:t xml:space="preserve">A fixed lookup table of operator-disclosed megawatt (MW) capacity figures, drawn from press releases and public statements, was maintained for 8 facilities. These disclosed-capacity buildings are treated separately throughout the resource-estimation stage from the remaining buildings, whose capacity is instead modelled (Section 5). One of the 8, STT Johor 1, was subsequently excluded from the aggregate (Section 3.5) after its coordinate was found to resolve outside Malaysia, leaving 7 disclosed-capacity buildings in the reported aggregate.</w:t>
      </w:r>
    </w:p>
    <w:p>
      <w:pPr>
        <w:pStyle w:val="Heading1"/>
        <w:spacing w:after="160" w:before="320"/>
      </w:pPr>
      <w:r>
        <w:t xml:space="preserve">5. Resource-Extraction Estimation</w:t>
      </w:r>
    </w:p>
    <w:p>
      <w:pPr>
        <w:pStyle w:val="Heading2"/>
        <w:spacing w:after="120" w:before="240"/>
      </w:pPr>
      <w:r>
        <w:t xml:space="preserve">5.1 Method (resource_estimates_v3.py)</w:t>
      </w:r>
    </w:p>
    <w:p>
      <w:pPr>
        <w:spacing w:after="160"/>
        <w:jc w:val="left"/>
      </w:pPr>
      <w:r>
        <w:rPr>
          <w:rFonts w:ascii="Calibri" w:cs="Calibri" w:eastAsia="Calibri" w:hAnsi="Calibri"/>
          <w:b w:val="false"/>
          <w:bCs w:val="false"/>
          <w:i w:val="false"/>
          <w:iCs w:val="false"/>
          <w:sz w:val="22"/>
          <w:szCs w:val="22"/>
        </w:rPr>
        <w:t xml:space="preserve">For each deduplicated building, the pipeline first checks whether it has a disclosed MW capacity (Section 4.2). If so, that figure is used directly as facility power. If not, facility power is modelled from the CV-detected building footprint area using a fixed coefficient:</w:t>
      </w:r>
    </w:p>
    <w:p>
      <w:pPr>
        <w:shd w:fill="F2F2F2" w:val="clear"/>
        <w:spacing w:after="80"/>
      </w:pPr>
      <w:r>
        <w:rPr>
          <w:rFonts w:ascii="Consolas" w:cs="Consolas" w:eastAsia="Consolas" w:hAnsi="Consolas"/>
          <w:sz w:val="18"/>
          <w:szCs w:val="18"/>
        </w:rPr>
        <w:t xml:space="preserve">facility_power_kW = area_m2 × 1.5 (kW/m² power density) × 1.4 (PUE)</w:t>
      </w:r>
    </w:p>
    <w:p>
      <w:pPr>
        <w:spacing w:after="160"/>
        <w:jc w:val="left"/>
      </w:pPr>
      <w:r>
        <w:rPr>
          <w:rFonts w:ascii="Calibri" w:cs="Calibri" w:eastAsia="Calibri" w:hAnsi="Calibri"/>
          <w:b w:val="false"/>
          <w:bCs w:val="false"/>
          <w:i w:val="false"/>
          <w:iCs w:val="false"/>
          <w:sz w:val="22"/>
          <w:szCs w:val="22"/>
        </w:rPr>
        <w:t xml:space="preserve">From facility power, the pipeline derives annual energy (facility power × 8,760 hours/year), annual carbon emissions (annual energy × 0.54 tCO₂e/MWh, the Peninsular Malaysia grid emission factor), and annual water consumption under two Water Usage Effectiveness (WUE) scenarios: an “optimised” WUE of 0.15 L/kWh and a “regional/tropical” WUE of 2.2 L/kWh, both applied to the IT-load energy component (facility energy divided by PUE). Waste heat is derived from total facility energy via a standard energy-to-heat conversion (3.6 GJ/MWh).</w:t>
      </w:r>
    </w:p>
    <w:p>
      <w:pPr>
        <w:spacing w:after="160"/>
        <w:jc w:val="left"/>
      </w:pPr>
      <w:r>
        <w:rPr>
          <w:rFonts w:ascii="Calibri" w:cs="Calibri" w:eastAsia="Calibri" w:hAnsi="Calibri"/>
          <w:b w:val="false"/>
          <w:bCs w:val="false"/>
          <w:i w:val="false"/>
          <w:iCs w:val="false"/>
          <w:sz w:val="22"/>
          <w:szCs w:val="22"/>
        </w:rPr>
        <w:t xml:space="preserve">Buildings with no confident CV detection (Section 3.3) are explicitly excluded from the aggregate resource totals rather than assigned a default or zero value, and are marked with an EXCLUDED status in the output dataset so the exclusion is visible rather than silent.</w:t>
      </w:r>
    </w:p>
    <w:p>
      <w:pPr>
        <w:pStyle w:val="Heading2"/>
        <w:spacing w:after="120" w:before="240"/>
      </w:pPr>
      <w:r>
        <w:t xml:space="preserve">5.2 The coefficient-calibration problem</w:t>
      </w:r>
    </w:p>
    <w:p>
      <w:pPr>
        <w:spacing w:after="160"/>
        <w:jc w:val="left"/>
      </w:pPr>
      <w:r>
        <w:rPr>
          <w:rFonts w:ascii="Calibri" w:cs="Calibri" w:eastAsia="Calibri" w:hAnsi="Calibri"/>
          <w:b w:val="false"/>
          <w:bCs w:val="false"/>
          <w:i w:val="false"/>
          <w:iCs w:val="false"/>
          <w:sz w:val="22"/>
          <w:szCs w:val="22"/>
        </w:rPr>
        <w:t xml:space="preserve">An early aggregate run of this methodology across the full facility list produced an implausible result: a modelled annual energy figure equivalent to roughly a fifth to a third of Malaysia's entire national grid generation. Two causes were identified and addressed in sequence:</w:t>
      </w:r>
    </w:p>
    <w:p>
      <w:pPr>
        <w:pStyle w:val="ListParagraph"/>
        <w:numPr>
          <w:ilvl w:val="0"/>
          <w:numId w:val="2"/>
        </w:numPr>
        <w:spacing w:after="80"/>
      </w:pPr>
      <w:r>
        <w:rPr>
          <w:rFonts w:ascii="Calibri" w:cs="Calibri" w:eastAsia="Calibri" w:hAnsi="Calibri"/>
          <w:b w:val="false"/>
          <w:bCs w:val="false"/>
          <w:sz w:val="22"/>
          <w:szCs w:val="22"/>
        </w:rPr>
        <w:t xml:space="preserve">Facility-list duplication (addressed by Section 4): removing duplicate co-located tenant entries reduced the aggregate by approximately 31%.</w:t>
      </w:r>
    </w:p>
    <w:p>
      <w:pPr>
        <w:pStyle w:val="ListParagraph"/>
        <w:numPr>
          <w:ilvl w:val="0"/>
          <w:numId w:val="2"/>
        </w:numPr>
        <w:spacing w:after="80"/>
      </w:pPr>
      <w:r>
        <w:rPr>
          <w:rFonts w:ascii="Calibri" w:cs="Calibri" w:eastAsia="Calibri" w:hAnsi="Calibri"/>
          <w:b w:val="false"/>
          <w:bCs w:val="false"/>
          <w:sz w:val="22"/>
          <w:szCs w:val="22"/>
        </w:rPr>
        <w:t xml:space="preserve">Coefficient invalidity across a heterogeneous portfolio: comparing the flat 1.5 kW/m² × 1.4 PUE coefficient's implied power density against the 8 disclosed-capacity facilities' actual power-per-footprint ratios showed a greater than 100-fold range across the portfolio, from roughly 0.36 kW/m² at a large colocation facility to roughly 40 kW/m² at a small, high-density fragment of a liquid-cooled AI facility. No single coefficient can be defensible across that range.</w:t>
      </w:r>
    </w:p>
    <w:p>
      <w:pPr>
        <w:spacing w:after="160"/>
        <w:jc w:val="left"/>
      </w:pPr>
      <w:r>
        <w:rPr>
          <w:rFonts w:ascii="Calibri" w:cs="Calibri" w:eastAsia="Calibri" w:hAnsi="Calibri"/>
          <w:b w:val="false"/>
          <w:bCs w:val="false"/>
          <w:i w:val="false"/>
          <w:iCs w:val="false"/>
          <w:sz w:val="22"/>
          <w:szCs w:val="22"/>
        </w:rPr>
        <w:t xml:space="preserve">Given this finding, the pipeline deliberately does not blend disclosed and modelled facilities into a single aggregate figure. The output dataset reports disclosed-capacity facilities and modelled facilities separately, and any headline aggregate figure quoted from this dataset should retain that separation and flag the modelled-facility component as low-confidence rather than presenting a single blended total as fact. Section 6 of the companion economic valuation paper reframes this finding in terms of natural resource economics (vintage capital heterogeneity and aggregation bias); this document confines itself to the technical description.</w:t>
      </w:r>
    </w:p>
    <w:p>
      <w:pPr>
        <w:pStyle w:val="Heading2"/>
        <w:spacing w:after="120" w:before="240"/>
      </w:pPr>
      <w:r>
        <w:t xml:space="preserve">5.3 Reported aggregate (deduplicated dataset, as of this methodology's most recent run)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shd w:fill="1F3864" w:val="clear"/>
            <w:vAlign w:val="center"/>
          </w:tcPr>
          <w:p>
            <w:r>
              <w:rPr>
                <w:rFonts w:ascii="Calibri" w:cs="Calibri" w:eastAsia="Calibri" w:hAnsi="Calibri"/>
                <w:b/>
                <w:bCs/>
                <w:color w:val="FFFFFF"/>
                <w:sz w:val="20"/>
                <w:szCs w:val="20"/>
              </w:rPr>
              <w:t xml:space="preserve">Metric</w:t>
            </w:r>
          </w:p>
        </w:tc>
        <w:tc>
          <w:tcPr>
            <w:tcW w:type="dxa" w:w="2400"/>
            <w:shd w:fill="1F3864" w:val="clear"/>
            <w:vAlign w:val="center"/>
          </w:tcPr>
          <w:p>
            <w:r>
              <w:rPr>
                <w:rFonts w:ascii="Calibri" w:cs="Calibri" w:eastAsia="Calibri" w:hAnsi="Calibri"/>
                <w:b/>
                <w:bCs/>
                <w:color w:val="FFFFFF"/>
                <w:sz w:val="20"/>
                <w:szCs w:val="20"/>
              </w:rPr>
              <w:t xml:space="preserve">Disclosed facilities (7)</w:t>
            </w:r>
          </w:p>
        </w:tc>
        <w:tc>
          <w:tcPr>
            <w:tcW w:type="dxa" w:w="2400"/>
            <w:shd w:fill="1F3864" w:val="clear"/>
            <w:vAlign w:val="center"/>
          </w:tcPr>
          <w:p>
            <w:r>
              <w:rPr>
                <w:rFonts w:ascii="Calibri" w:cs="Calibri" w:eastAsia="Calibri" w:hAnsi="Calibri"/>
                <w:b/>
                <w:bCs/>
                <w:color w:val="FFFFFF"/>
                <w:sz w:val="20"/>
                <w:szCs w:val="20"/>
              </w:rPr>
              <w:t xml:space="preserve">Modelled facilities (42)</w:t>
            </w:r>
          </w:p>
        </w:tc>
        <w:tc>
          <w:tcPr>
            <w:tcW w:type="dxa" w:w="2400"/>
            <w:shd w:fill="1F3864" w:val="clear"/>
            <w:vAlign w:val="center"/>
          </w:tcPr>
          <w:p>
            <w:r>
              <w:rPr>
                <w:rFonts w:ascii="Calibri" w:cs="Calibri" w:eastAsia="Calibri" w:hAnsi="Calibri"/>
                <w:b/>
                <w:bCs/>
                <w:color w:val="FFFFFF"/>
                <w:sz w:val="20"/>
                <w:szCs w:val="20"/>
              </w:rPr>
              <w:t xml:space="preserve">Combined (49 included)</w:t>
            </w:r>
          </w:p>
        </w:tc>
      </w:tr>
      <w:tr>
        <w:tc>
          <w:tcPr>
            <w:tcW w:type="dxa" w:w="2400"/>
            <w:vAlign w:val="center"/>
          </w:tcPr>
          <w:p>
            <w:r>
              <w:rPr>
                <w:rFonts w:ascii="Calibri" w:cs="Calibri" w:eastAsia="Calibri" w:hAnsi="Calibri"/>
                <w:b w:val="false"/>
                <w:bCs w:val="false"/>
                <w:color w:val="000000"/>
                <w:sz w:val="20"/>
                <w:szCs w:val="20"/>
              </w:rPr>
              <w:t xml:space="preserve">Facility power</w:t>
            </w:r>
          </w:p>
        </w:tc>
        <w:tc>
          <w:tcPr>
            <w:tcW w:type="dxa" w:w="2400"/>
            <w:vAlign w:val="center"/>
          </w:tcPr>
          <w:p>
            <w:r>
              <w:rPr>
                <w:rFonts w:ascii="Calibri" w:cs="Calibri" w:eastAsia="Calibri" w:hAnsi="Calibri"/>
                <w:b w:val="false"/>
                <w:bCs w:val="false"/>
                <w:color w:val="000000"/>
                <w:sz w:val="20"/>
                <w:szCs w:val="20"/>
              </w:rPr>
              <w:t xml:space="preserve">1,316.0 MW (disclosed)</w:t>
            </w:r>
          </w:p>
        </w:tc>
        <w:tc>
          <w:tcPr>
            <w:tcW w:type="dxa" w:w="2400"/>
            <w:vAlign w:val="center"/>
          </w:tcPr>
          <w:p>
            <w:r>
              <w:rPr>
                <w:rFonts w:ascii="Calibri" w:cs="Calibri" w:eastAsia="Calibri" w:hAnsi="Calibri"/>
                <w:b w:val="false"/>
                <w:bCs w:val="false"/>
                <w:color w:val="000000"/>
                <w:sz w:val="20"/>
                <w:szCs w:val="20"/>
              </w:rPr>
              <w:t xml:space="preserve">565.6 MW (modelled, low confidence)</w:t>
            </w:r>
          </w:p>
        </w:tc>
        <w:tc>
          <w:tcPr>
            <w:tcW w:type="dxa" w:w="2400"/>
            <w:vAlign w:val="center"/>
          </w:tcPr>
          <w:p>
            <w:r>
              <w:rPr>
                <w:rFonts w:ascii="Calibri" w:cs="Calibri" w:eastAsia="Calibri" w:hAnsi="Calibri"/>
                <w:b w:val="false"/>
                <w:bCs w:val="false"/>
                <w:color w:val="000000"/>
                <w:sz w:val="20"/>
                <w:szCs w:val="20"/>
              </w:rPr>
              <w:t xml:space="preserve">~1,881.6 MW</w:t>
            </w:r>
          </w:p>
        </w:tc>
      </w:tr>
      <w:tr>
        <w:tc>
          <w:tcPr>
            <w:tcW w:type="dxa" w:w="2400"/>
            <w:vAlign w:val="center"/>
          </w:tcPr>
          <w:p>
            <w:r>
              <w:rPr>
                <w:rFonts w:ascii="Calibri" w:cs="Calibri" w:eastAsia="Calibri" w:hAnsi="Calibri"/>
                <w:b w:val="false"/>
                <w:bCs w:val="false"/>
                <w:color w:val="000000"/>
                <w:sz w:val="20"/>
                <w:szCs w:val="20"/>
              </w:rPr>
              <w:t xml:space="preserve">Annual energy</w:t>
            </w:r>
          </w:p>
        </w:tc>
        <w:tc>
          <w:tcPr>
            <w:tcW w:type="dxa" w:w="2400"/>
            <w:vAlign w:val="center"/>
          </w:tcPr>
          <w:p>
            <w:r>
              <w:rPr>
                <w:rFonts w:ascii="Calibri" w:cs="Calibri" w:eastAsia="Calibri" w:hAnsi="Calibri"/>
                <w:b w:val="false"/>
                <w:bCs w:val="false"/>
                <w:color w:val="000000"/>
                <w:sz w:val="20"/>
                <w:szCs w:val="20"/>
              </w:rPr>
              <w:t xml:space="preserve">—</w:t>
            </w:r>
          </w:p>
        </w:tc>
        <w:tc>
          <w:tcPr>
            <w:tcW w:type="dxa" w:w="2400"/>
            <w:vAlign w:val="center"/>
          </w:tcPr>
          <w:p>
            <w:r>
              <w:rPr>
                <w:rFonts w:ascii="Calibri" w:cs="Calibri" w:eastAsia="Calibri" w:hAnsi="Calibri"/>
                <w:b w:val="false"/>
                <w:bCs w:val="false"/>
                <w:color w:val="000000"/>
                <w:sz w:val="20"/>
                <w:szCs w:val="20"/>
              </w:rPr>
              <w:t xml:space="preserve">—</w:t>
            </w:r>
          </w:p>
        </w:tc>
        <w:tc>
          <w:tcPr>
            <w:tcW w:type="dxa" w:w="2400"/>
            <w:vAlign w:val="center"/>
          </w:tcPr>
          <w:p>
            <w:r>
              <w:rPr>
                <w:rFonts w:ascii="Calibri" w:cs="Calibri" w:eastAsia="Calibri" w:hAnsi="Calibri"/>
                <w:b w:val="false"/>
                <w:bCs w:val="false"/>
                <w:color w:val="000000"/>
                <w:sz w:val="20"/>
                <w:szCs w:val="20"/>
              </w:rPr>
              <w:t xml:space="preserve">~16,482.4 GWh/yr</w:t>
            </w:r>
          </w:p>
        </w:tc>
      </w:tr>
      <w:tr>
        <w:tc>
          <w:tcPr>
            <w:tcW w:type="dxa" w:w="2400"/>
            <w:vAlign w:val="center"/>
          </w:tcPr>
          <w:p>
            <w:r>
              <w:rPr>
                <w:rFonts w:ascii="Calibri" w:cs="Calibri" w:eastAsia="Calibri" w:hAnsi="Calibri"/>
                <w:b w:val="false"/>
                <w:bCs w:val="false"/>
                <w:color w:val="000000"/>
                <w:sz w:val="20"/>
                <w:szCs w:val="20"/>
              </w:rPr>
              <w:t xml:space="preserve">Annual carbon</w:t>
            </w:r>
          </w:p>
        </w:tc>
        <w:tc>
          <w:tcPr>
            <w:tcW w:type="dxa" w:w="2400"/>
            <w:vAlign w:val="center"/>
          </w:tcPr>
          <w:p>
            <w:r>
              <w:rPr>
                <w:rFonts w:ascii="Calibri" w:cs="Calibri" w:eastAsia="Calibri" w:hAnsi="Calibri"/>
                <w:b w:val="false"/>
                <w:bCs w:val="false"/>
                <w:color w:val="000000"/>
                <w:sz w:val="20"/>
                <w:szCs w:val="20"/>
              </w:rPr>
              <w:t xml:space="preserve">—</w:t>
            </w:r>
          </w:p>
        </w:tc>
        <w:tc>
          <w:tcPr>
            <w:tcW w:type="dxa" w:w="2400"/>
            <w:vAlign w:val="center"/>
          </w:tcPr>
          <w:p>
            <w:r>
              <w:rPr>
                <w:rFonts w:ascii="Calibri" w:cs="Calibri" w:eastAsia="Calibri" w:hAnsi="Calibri"/>
                <w:b w:val="false"/>
                <w:bCs w:val="false"/>
                <w:color w:val="000000"/>
                <w:sz w:val="20"/>
                <w:szCs w:val="20"/>
              </w:rPr>
              <w:t xml:space="preserve">—</w:t>
            </w:r>
          </w:p>
        </w:tc>
        <w:tc>
          <w:tcPr>
            <w:tcW w:type="dxa" w:w="2400"/>
            <w:vAlign w:val="center"/>
          </w:tcPr>
          <w:p>
            <w:r>
              <w:rPr>
                <w:rFonts w:ascii="Calibri" w:cs="Calibri" w:eastAsia="Calibri" w:hAnsi="Calibri"/>
                <w:b w:val="false"/>
                <w:bCs w:val="false"/>
                <w:color w:val="000000"/>
                <w:sz w:val="20"/>
                <w:szCs w:val="20"/>
              </w:rPr>
              <w:t xml:space="preserve">~8.9 million tCO₂e/yr</w:t>
            </w:r>
          </w:p>
        </w:tc>
      </w:tr>
      <w:tr>
        <w:tc>
          <w:tcPr>
            <w:tcW w:type="dxa" w:w="2400"/>
            <w:vAlign w:val="center"/>
          </w:tcPr>
          <w:p>
            <w:r>
              <w:rPr>
                <w:rFonts w:ascii="Calibri" w:cs="Calibri" w:eastAsia="Calibri" w:hAnsi="Calibri"/>
                <w:b w:val="false"/>
                <w:bCs w:val="false"/>
                <w:color w:val="000000"/>
                <w:sz w:val="20"/>
                <w:szCs w:val="20"/>
              </w:rPr>
              <w:t xml:space="preserve">Water (optimised WUE)</w:t>
            </w:r>
          </w:p>
        </w:tc>
        <w:tc>
          <w:tcPr>
            <w:tcW w:type="dxa" w:w="2400"/>
            <w:vAlign w:val="center"/>
          </w:tcPr>
          <w:p>
            <w:r>
              <w:rPr>
                <w:rFonts w:ascii="Calibri" w:cs="Calibri" w:eastAsia="Calibri" w:hAnsi="Calibri"/>
                <w:b w:val="false"/>
                <w:bCs w:val="false"/>
                <w:color w:val="000000"/>
                <w:sz w:val="20"/>
                <w:szCs w:val="20"/>
              </w:rPr>
              <w:t xml:space="preserve">—</w:t>
            </w:r>
          </w:p>
        </w:tc>
        <w:tc>
          <w:tcPr>
            <w:tcW w:type="dxa" w:w="2400"/>
            <w:vAlign w:val="center"/>
          </w:tcPr>
          <w:p>
            <w:r>
              <w:rPr>
                <w:rFonts w:ascii="Calibri" w:cs="Calibri" w:eastAsia="Calibri" w:hAnsi="Calibri"/>
                <w:b w:val="false"/>
                <w:bCs w:val="false"/>
                <w:color w:val="000000"/>
                <w:sz w:val="20"/>
                <w:szCs w:val="20"/>
              </w:rPr>
              <w:t xml:space="preserve">—</w:t>
            </w:r>
          </w:p>
        </w:tc>
        <w:tc>
          <w:tcPr>
            <w:tcW w:type="dxa" w:w="2400"/>
            <w:vAlign w:val="center"/>
          </w:tcPr>
          <w:p>
            <w:r>
              <w:rPr>
                <w:rFonts w:ascii="Calibri" w:cs="Calibri" w:eastAsia="Calibri" w:hAnsi="Calibri"/>
                <w:b w:val="false"/>
                <w:bCs w:val="false"/>
                <w:color w:val="000000"/>
                <w:sz w:val="20"/>
                <w:szCs w:val="20"/>
              </w:rPr>
              <w:t xml:space="preserve">~1,766.0 million L/yr</w:t>
            </w:r>
          </w:p>
        </w:tc>
      </w:tr>
      <w:tr>
        <w:tc>
          <w:tcPr>
            <w:tcW w:type="dxa" w:w="2400"/>
            <w:vAlign w:val="center"/>
          </w:tcPr>
          <w:p>
            <w:r>
              <w:rPr>
                <w:rFonts w:ascii="Calibri" w:cs="Calibri" w:eastAsia="Calibri" w:hAnsi="Calibri"/>
                <w:b w:val="false"/>
                <w:bCs w:val="false"/>
                <w:color w:val="000000"/>
                <w:sz w:val="20"/>
                <w:szCs w:val="20"/>
              </w:rPr>
              <w:t xml:space="preserve">Water (regional WUE)</w:t>
            </w:r>
          </w:p>
        </w:tc>
        <w:tc>
          <w:tcPr>
            <w:tcW w:type="dxa" w:w="2400"/>
            <w:vAlign w:val="center"/>
          </w:tcPr>
          <w:p>
            <w:r>
              <w:rPr>
                <w:rFonts w:ascii="Calibri" w:cs="Calibri" w:eastAsia="Calibri" w:hAnsi="Calibri"/>
                <w:b w:val="false"/>
                <w:bCs w:val="false"/>
                <w:color w:val="000000"/>
                <w:sz w:val="20"/>
                <w:szCs w:val="20"/>
              </w:rPr>
              <w:t xml:space="preserve">—</w:t>
            </w:r>
          </w:p>
        </w:tc>
        <w:tc>
          <w:tcPr>
            <w:tcW w:type="dxa" w:w="2400"/>
            <w:vAlign w:val="center"/>
          </w:tcPr>
          <w:p>
            <w:r>
              <w:rPr>
                <w:rFonts w:ascii="Calibri" w:cs="Calibri" w:eastAsia="Calibri" w:hAnsi="Calibri"/>
                <w:b w:val="false"/>
                <w:bCs w:val="false"/>
                <w:color w:val="000000"/>
                <w:sz w:val="20"/>
                <w:szCs w:val="20"/>
              </w:rPr>
              <w:t xml:space="preserve">—</w:t>
            </w:r>
          </w:p>
        </w:tc>
        <w:tc>
          <w:tcPr>
            <w:tcW w:type="dxa" w:w="2400"/>
            <w:vAlign w:val="center"/>
          </w:tcPr>
          <w:p>
            <w:r>
              <w:rPr>
                <w:rFonts w:ascii="Calibri" w:cs="Calibri" w:eastAsia="Calibri" w:hAnsi="Calibri"/>
                <w:b w:val="false"/>
                <w:bCs w:val="false"/>
                <w:color w:val="000000"/>
                <w:sz w:val="20"/>
                <w:szCs w:val="20"/>
              </w:rPr>
              <w:t xml:space="preserve">~25,901.0 million L/yr</w:t>
            </w:r>
          </w:p>
        </w:tc>
      </w:tr>
      <w:tr>
        <w:tc>
          <w:tcPr>
            <w:tcW w:type="dxa" w:w="2400"/>
            <w:vAlign w:val="center"/>
          </w:tcPr>
          <w:p>
            <w:r>
              <w:rPr>
                <w:rFonts w:ascii="Calibri" w:cs="Calibri" w:eastAsia="Calibri" w:hAnsi="Calibri"/>
                <w:b w:val="false"/>
                <w:bCs w:val="false"/>
                <w:color w:val="000000"/>
                <w:sz w:val="20"/>
                <w:szCs w:val="20"/>
              </w:rPr>
              <w:t xml:space="preserve">Waste heat</w:t>
            </w:r>
          </w:p>
        </w:tc>
        <w:tc>
          <w:tcPr>
            <w:tcW w:type="dxa" w:w="2400"/>
            <w:vAlign w:val="center"/>
          </w:tcPr>
          <w:p>
            <w:r>
              <w:rPr>
                <w:rFonts w:ascii="Calibri" w:cs="Calibri" w:eastAsia="Calibri" w:hAnsi="Calibri"/>
                <w:b w:val="false"/>
                <w:bCs w:val="false"/>
                <w:color w:val="000000"/>
                <w:sz w:val="20"/>
                <w:szCs w:val="20"/>
              </w:rPr>
              <w:t xml:space="preserve">—</w:t>
            </w:r>
          </w:p>
        </w:tc>
        <w:tc>
          <w:tcPr>
            <w:tcW w:type="dxa" w:w="2400"/>
            <w:vAlign w:val="center"/>
          </w:tcPr>
          <w:p>
            <w:r>
              <w:rPr>
                <w:rFonts w:ascii="Calibri" w:cs="Calibri" w:eastAsia="Calibri" w:hAnsi="Calibri"/>
                <w:b w:val="false"/>
                <w:bCs w:val="false"/>
                <w:color w:val="000000"/>
                <w:sz w:val="20"/>
                <w:szCs w:val="20"/>
              </w:rPr>
              <w:t xml:space="preserve">—</w:t>
            </w:r>
          </w:p>
        </w:tc>
        <w:tc>
          <w:tcPr>
            <w:tcW w:type="dxa" w:w="2400"/>
            <w:vAlign w:val="center"/>
          </w:tcPr>
          <w:p>
            <w:r>
              <w:rPr>
                <w:rFonts w:ascii="Calibri" w:cs="Calibri" w:eastAsia="Calibri" w:hAnsi="Calibri"/>
                <w:b w:val="false"/>
                <w:bCs w:val="false"/>
                <w:color w:val="000000"/>
                <w:sz w:val="20"/>
                <w:szCs w:val="20"/>
              </w:rPr>
              <w:t xml:space="preserve">~59,336,759 GJ/yr</w:t>
            </w:r>
          </w:p>
        </w:tc>
      </w:tr>
    </w:tbl>
    <w:p>
      <w:pPr>
        <w:pBdr>
          <w:left w:val="single" w:color="999999" w:sz="12" w:space="8"/>
        </w:pBdr>
        <w:spacing w:after="160"/>
        <w:ind w:left="200"/>
      </w:pPr>
      <w:r>
        <w:rPr>
          <w:rFonts w:ascii="Calibri" w:cs="Calibri" w:eastAsia="Calibri" w:hAnsi="Calibri"/>
          <w:i/>
          <w:iCs/>
          <w:color w:val="555555"/>
          <w:sz w:val="20"/>
          <w:szCs w:val="20"/>
        </w:rPr>
        <w:t xml:space="preserve">22 of the 71 deduplicated buildings are excluded from this aggregate, leaving 49 included: 7 disclosed and 42 modelled. This table reflects two corrections since the previous run, documented in full in Section 5.4 and Section 5.5: first, footprint area is now computed from the detector's actual contour polygon rather than its bounding box, which had been systematically overstating area (bounding-box area exceeded polygon area by 50.9% on average across the 124-candidate set); second, an independent manual review pass by a second researcher, cross-checked against Data Center Map, Google Maps, and Google Earth, re-examined every facility the automated detector had flagged as uncertain (54 of 71) plus 4 facilities the detector found nothing at all for and which had been mistakenly omitted from the first review pass. That review found 21 modelled facilities where no confident building could be identified in the available imagery even by eye, most attributable to geocoding pointing to a neighbouring building, an internal colocation tenant with no distinct footprint, or satellite imagery predating project completion (see Section 5.5 for the categorised breakdown), and these are now excluded from the aggregate rather than assigned an unreliable modelled estimate. The disclosed-facility count and MW figure are unaffected by either correction, since disclosed capacity comes from operator disclosure, not image area. The aggregate corresponds to roughly 10.6% of Peninsular Malaysia's estimated annual grid generation (~155,000 GWh/yr). Given the coefficient-calibration caveat above, this figure should be read as an order-of-magnitude planning estimate, not a precise measurement.</w:t>
      </w:r>
    </w:p>
    <w:p>
      <w:pPr>
        <w:pStyle w:val="Heading2"/>
        <w:spacing w:after="120" w:before="240"/>
      </w:pPr>
      <w:r>
        <w:t xml:space="preserve">5.4 Correction: Polygon Footprint Area Replaces Bounding-Box Area</w:t>
      </w:r>
    </w:p>
    <w:p>
      <w:pPr>
        <w:spacing w:after="160"/>
        <w:jc w:val="left"/>
      </w:pPr>
      <w:r>
        <w:rPr>
          <w:rFonts w:ascii="Calibri" w:cs="Calibri" w:eastAsia="Calibri" w:hAnsi="Calibri"/>
          <w:b w:val="false"/>
          <w:bCs w:val="false"/>
          <w:i w:val="false"/>
          <w:iCs w:val="false"/>
          <w:sz w:val="22"/>
          <w:szCs w:val="22"/>
        </w:rPr>
        <w:t xml:space="preserve">The detector described in Section 3 originally reported only the bounding rectangle of its best-scoring contour, and area was computed from that rectangle's width and height. This systematically overstates footprint for any non-rectangular building, which is most of them: angled roofs, L-shaped blocks, and multi-building campus fragments all have a bounding box larger than their actual footprint. The detector was revised to retain the contour itself, simplified via Douglas-Peucker polygon approximation (cv2.approxPolyDP), and area is now computed from that polygon (via OpenCV's contour-area function, equivalent to the shoelace formula) rather than the bounding rectangle. Re-running detection across all 124 raw candidates found polygon area averaged 50.9% lower than bounding-box area for the same detections, a substantial correction that flows directly into every area-dependent modelled-facility power, energy, water, and carbon figure in this document.</w:t>
      </w:r>
    </w:p>
    <w:p>
      <w:pPr>
        <w:pStyle w:val="Heading2"/>
        <w:spacing w:after="120" w:before="240"/>
      </w:pPr>
      <w:r>
        <w:t xml:space="preserve">5.5 Independent Manual Verification Pass</w:t>
      </w:r>
    </w:p>
    <w:p>
      <w:pPr>
        <w:spacing w:after="160"/>
        <w:jc w:val="left"/>
      </w:pPr>
      <w:r>
        <w:rPr>
          <w:rFonts w:ascii="Calibri" w:cs="Calibri" w:eastAsia="Calibri" w:hAnsi="Calibri"/>
          <w:b w:val="false"/>
          <w:bCs w:val="false"/>
          <w:i w:val="false"/>
          <w:iCs w:val="false"/>
          <w:sz w:val="22"/>
          <w:szCs w:val="22"/>
        </w:rPr>
        <w:t xml:space="preserve">Given the scale of the correction in Section 5.4 and the project's own confidence flags (FAR_FROM_CENTER, LOW_COMPACTNESS) applying to a large share of the dataset, a second researcher independently reviewed every flagged facility by eye against the raw satellite tile, tracing a corrected polygon by hand where a confident building was visible, or marking the facility as having no confident building visible where it was not, with a free-text note explaining why in each case. Reasons recorded across the 21 newly-excluded modelled facilities include: coordinates resolving to a neighbouring or unrelated building (commercial towers, industrial units, a corporate HQ), facilities operating as an internal colocation tenant within a larger shared building with no distinct exterior footprint, and satellite imagery predating a facility's completion. These are qualitatively different failure modes from the automated pipeline's original FAR_FROM_CENTER/LOW_COMPACTNESS flags, which measure geometric properties of the detected contour rather than whether the right building was found at all, and the manual pass is treated as authoritative where the two disagree. Buildings with independently manually-verified polygons are flagged MANUALLY_VERIFIED in the underlying dataset; buildings excluded on this basis carry a QC_Flag documenting the reviewer and reason.</w:t>
      </w:r>
    </w:p>
    <w:p>
      <w:pPr>
        <w:pStyle w:val="Heading1"/>
        <w:spacing w:after="160" w:before="320"/>
      </w:pPr>
      <w:r>
        <w:t xml:space="preserve">6. Regulatory and Legislative Corpus Analysis</w:t>
      </w:r>
    </w:p>
    <w:p>
      <w:pPr>
        <w:pStyle w:val="Heading2"/>
        <w:spacing w:after="120" w:before="240"/>
      </w:pPr>
      <w:r>
        <w:t xml:space="preserve">6.1 Scope and purpose</w:t>
      </w:r>
    </w:p>
    <w:p>
      <w:pPr>
        <w:spacing w:after="160"/>
        <w:jc w:val="left"/>
      </w:pPr>
      <w:r>
        <w:rPr>
          <w:rFonts w:ascii="Calibri" w:cs="Calibri" w:eastAsia="Calibri" w:hAnsi="Calibri"/>
          <w:b w:val="false"/>
          <w:bCs w:val="false"/>
          <w:i w:val="false"/>
          <w:iCs w:val="false"/>
          <w:sz w:val="22"/>
          <w:szCs w:val="22"/>
        </w:rPr>
        <w:t xml:space="preserve">In parallel with the satellite pipeline, the project reviewed each Malaysian jurisdiction's environmental-review and planning regime for data centre coverage, and mined the parliamentary and state-assembly Hansard record for data-centre-related discussion, to establish the governance and disclosure context surrounding the facilities measured in Sections 2 to 5.</w:t>
      </w:r>
    </w:p>
    <w:p>
      <w:pPr>
        <w:pStyle w:val="Heading2"/>
        <w:spacing w:after="120" w:before="240"/>
      </w:pPr>
      <w:r>
        <w:t xml:space="preserve">6.2 Environmental-review policy mapping</w:t>
      </w:r>
    </w:p>
    <w:p>
      <w:pPr>
        <w:spacing w:after="160"/>
        <w:jc w:val="left"/>
      </w:pPr>
      <w:r>
        <w:rPr>
          <w:rFonts w:ascii="Calibri" w:cs="Calibri" w:eastAsia="Calibri" w:hAnsi="Calibri"/>
          <w:b w:val="false"/>
          <w:bCs w:val="false"/>
          <w:i w:val="false"/>
          <w:iCs w:val="false"/>
          <w:sz w:val="22"/>
          <w:szCs w:val="22"/>
        </w:rPr>
        <w:t xml:space="preserve">Each jurisdiction with satellite-confirmed data centre facilities was checked individually against its Environmental Impact Assessment (EIA) or equivalent prescribed-activities framework: the federal Environmental Quality Act 1974 Prescribed Activities Order, and the independent state-level regimes of Sarawak (Natural Resources and Environment Board) and Sabah. In every jurisdiction checked, no dedicated data centre category triggers mandatory environmental review; data centres are treated, where captured at all, as generic industrial or commercial building floor area, subject to the same hectare-based thresholds as any other development (federal EIA Order thresholds and, separately, Sarawak's Item 7(x) threshold).</w:t>
      </w:r>
    </w:p>
    <w:p>
      <w:pPr>
        <w:spacing w:after="160"/>
        <w:jc w:val="left"/>
      </w:pPr>
      <w:r>
        <w:rPr>
          <w:rFonts w:ascii="Calibri" w:cs="Calibri" w:eastAsia="Calibri" w:hAnsi="Calibri"/>
          <w:b w:val="false"/>
          <w:bCs w:val="false"/>
          <w:i w:val="false"/>
          <w:iCs w:val="false"/>
          <w:sz w:val="22"/>
          <w:szCs w:val="22"/>
        </w:rPr>
        <w:t xml:space="preserve">Cross-referencing this threshold against the actual parcel sizes observed for Johor data centre developments (typically 1 to 2 acres per facility, well under the thresholds that trigger review) surfaced a cumulative-impact blind spot: a corridor of individually sub-threshold developments can produce an aggregate land-use and resource impact exceeding the threshold that would apply to a single larger project, without any single facility ever triggering review. This finding directly motivated the land-cover change pilot in Section 7.</w:t>
      </w:r>
    </w:p>
    <w:p>
      <w:pPr>
        <w:pStyle w:val="Heading2"/>
        <w:spacing w:after="120" w:before="240"/>
      </w:pPr>
      <w:r>
        <w:t xml:space="preserve">6.3 Hansard corpus triage</w:t>
      </w:r>
    </w:p>
    <w:p>
      <w:pPr>
        <w:spacing w:after="160"/>
        <w:jc w:val="left"/>
      </w:pPr>
      <w:r>
        <w:rPr>
          <w:rFonts w:ascii="Calibri" w:cs="Calibri" w:eastAsia="Calibri" w:hAnsi="Calibri"/>
          <w:b w:val="false"/>
          <w:bCs w:val="false"/>
          <w:i w:val="false"/>
          <w:iCs w:val="false"/>
          <w:sz w:val="22"/>
          <w:szCs w:val="22"/>
        </w:rPr>
        <w:t xml:space="preserve">A keyword search for “pusat data” (Malay: data centre, but also literally “data hub/repository” in unrelated administrative contexts) and “data centre/data center” was run across the full local Hansard corpus: 1,133 Dewan Rakyat (federal Parliament) files and 176 Dewan Negeri/DUN Johor (state assembly) files spanning 2008 to 2026. This returned 174 candidate files.</w:t>
      </w:r>
    </w:p>
    <w:p>
      <w:pPr>
        <w:spacing w:after="160"/>
        <w:jc w:val="left"/>
      </w:pPr>
      <w:r>
        <w:rPr>
          <w:rFonts w:ascii="Calibri" w:cs="Calibri" w:eastAsia="Calibri" w:hAnsi="Calibri"/>
          <w:b w:val="false"/>
          <w:bCs w:val="false"/>
          <w:i w:val="false"/>
          <w:iCs w:val="false"/>
          <w:sz w:val="22"/>
          <w:szCs w:val="22"/>
        </w:rPr>
        <w:t xml:space="preserve">Each candidate file was processed via pdftotext to extract keyword-context windows (±2 lines around each match), then manually reviewed to separate genuine data-centre-industry or policy discussion from false-positive uses of “pusat data” in unrelated administrative registries. Of the 174 candidate files, 171 (98.3%) were confirmed as genuine, substantive data-centre-related discussion; 3 were false positives (a proposed child-welfare social-data registry, a mineral/geoscience information databank, and a hypothetical land-survey IT system).</w:t>
      </w:r>
    </w:p>
    <w:p>
      <w:pPr>
        <w:spacing w:after="160"/>
        <w:jc w:val="left"/>
      </w:pPr>
      <w:r>
        <w:rPr>
          <w:rFonts w:ascii="Calibri" w:cs="Calibri" w:eastAsia="Calibri" w:hAnsi="Calibri"/>
          <w:b w:val="false"/>
          <w:bCs w:val="false"/>
          <w:i w:val="false"/>
          <w:iCs w:val="false"/>
          <w:sz w:val="22"/>
          <w:szCs w:val="22"/>
        </w:rPr>
        <w:t xml:space="preserve">This triage surfaced two findings not previously present in the project's satellite or policy corpus: a government-stated intent to develop an alternative Southeast Asian digital-traffic hub and data centre on a 200-acre site in the Kedah Special Border Economic Zone “DELAPAN” (Bukit Kayu Hitam), and a 2024 federal ministerial admission that several data centre projects had been cancelled and that government policy had shifted to not actively encourage new, non-AI-linked data centre projects, explicitly because of high energy and water requirements. The latter corroborates this project's own resource-strain findings and the separately documented November 2025 Johor Tier 1/Tier 2 DC approval freeze.</w:t>
      </w:r>
    </w:p>
    <w:p>
      <w:pPr>
        <w:pStyle w:val="Heading2"/>
        <w:spacing w:after="120" w:before="240"/>
      </w:pPr>
      <w:r>
        <w:t xml:space="preserve">6.4 FDI realisation tracking</w:t>
      </w:r>
    </w:p>
    <w:p>
      <w:pPr>
        <w:spacing w:after="160"/>
        <w:jc w:val="left"/>
      </w:pPr>
      <w:r>
        <w:rPr>
          <w:rFonts w:ascii="Calibri" w:cs="Calibri" w:eastAsia="Calibri" w:hAnsi="Calibri"/>
          <w:b w:val="false"/>
          <w:bCs w:val="false"/>
          <w:i w:val="false"/>
          <w:iCs w:val="false"/>
          <w:sz w:val="22"/>
          <w:szCs w:val="22"/>
        </w:rPr>
        <w:t xml:space="preserve">Approved or announced foreign and domestic direct investment figures for the data centre sector, as reported in state and federal government statements (MIDA, MITI, and named ministers), were cross-checked against subsequently reported realised or actual investment figures where both were available, to distinguish pipeline announcements from delivered investment. As of the most recent national-level ministerial statement (May 2026), RM280 billion in data centre investment had been pledged against RM131 billion realised, a 47% realisation rate, consistent with, but more complete than, the state-level figures (Johor, Selangor) obtained earlier in the project.</w:t>
      </w:r>
    </w:p>
    <w:p>
      <w:pPr>
        <w:pStyle w:val="Heading1"/>
        <w:spacing w:after="160" w:before="320"/>
      </w:pPr>
      <w:r>
        <w:t xml:space="preserve">7. Land-Cover Change Pilot</w:t>
      </w:r>
    </w:p>
    <w:p>
      <w:pPr>
        <w:pStyle w:val="Heading2"/>
        <w:spacing w:after="120" w:before="240"/>
      </w:pPr>
      <w:r>
        <w:t xml:space="preserve">7.1 Motivation</w:t>
      </w:r>
    </w:p>
    <w:p>
      <w:pPr>
        <w:spacing w:after="160"/>
        <w:jc w:val="left"/>
      </w:pPr>
      <w:r>
        <w:rPr>
          <w:rFonts w:ascii="Calibri" w:cs="Calibri" w:eastAsia="Calibri" w:hAnsi="Calibri"/>
          <w:b w:val="false"/>
          <w:bCs w:val="false"/>
          <w:i w:val="false"/>
          <w:iCs w:val="false"/>
          <w:sz w:val="22"/>
          <w:szCs w:val="22"/>
        </w:rPr>
        <w:t xml:space="preserve">The cumulative-impact blind spot identified in Section 6.2, combined with the visual observation of substantial land-cover disturbance around several facility clusters during satellite imagery capture, motivated a pilot test of whether publicly available satellite-derived deforestation data could be added as a further resource-security indicator alongside the power, water, and carbon estimates in Section 5.</w:t>
      </w:r>
    </w:p>
    <w:p>
      <w:pPr>
        <w:pStyle w:val="Heading2"/>
        <w:spacing w:after="120" w:before="240"/>
      </w:pPr>
      <w:r>
        <w:t xml:space="preserve">7.2 Method</w:t>
      </w:r>
    </w:p>
    <w:p>
      <w:pPr>
        <w:spacing w:after="160"/>
        <w:jc w:val="left"/>
      </w:pPr>
      <w:r>
        <w:rPr>
          <w:rFonts w:ascii="Calibri" w:cs="Calibri" w:eastAsia="Calibri" w:hAnsi="Calibri"/>
          <w:b w:val="false"/>
          <w:bCs w:val="false"/>
          <w:i w:val="false"/>
          <w:iCs w:val="false"/>
          <w:sz w:val="22"/>
          <w:szCs w:val="22"/>
        </w:rPr>
        <w:t xml:space="preserve">A pilot area of interest (536.30 ha) was manually drawn around a five-facility cluster in the Sedenak technology corridor, Johor (Keppel DC Johor 1, BrightRay MY-01, BDC MY06, Princeton Digital JH1/JH2, and K2 Sedenak Tech Park), using the Global Forest Watch interactive map interface over the Hansen Global Forest Change (GFC) dataset (University of Maryland / Google / USGS / NASA, 30 m resolution, Landsat-derived). A REST API-based approach (the GFW Data API) was attempted first but was not usable within this project's tooling due to URL-length constraints on polygon geometry queries; the browser-based interactive map was used instead for this pilot.</w:t>
      </w:r>
    </w:p>
    <w:p>
      <w:pPr>
        <w:pStyle w:val="Heading2"/>
        <w:spacing w:after="120" w:before="240"/>
      </w:pPr>
      <w:r>
        <w:t xml:space="preserve">7.3 Results</w:t>
      </w:r>
    </w:p>
    <w:p>
      <w:pPr>
        <w:spacing w:after="160"/>
        <w:jc w:val="left"/>
      </w:pPr>
      <w:r>
        <w:rPr>
          <w:rFonts w:ascii="Calibri" w:cs="Calibri" w:eastAsia="Calibri" w:hAnsi="Calibri"/>
          <w:b w:val="false"/>
          <w:bCs w:val="false"/>
          <w:i w:val="false"/>
          <w:iCs w:val="false"/>
          <w:sz w:val="22"/>
          <w:szCs w:val="22"/>
        </w:rPr>
        <w:t xml:space="preserve">Within the 536.30 ha area of interest, 210 ha of tree cover was lost between 2001 and 2025, equal to 67% of the year-2000 tree cover baseline, against 54 ha gained between 2000 and 2020 (a negligible offset). The area is classified as lowland, Peninsular Malaysian rain forest habitat with no Intact Forest Landscape present.</w:t>
      </w:r>
    </w:p>
    <w:p>
      <w:pPr>
        <w:pStyle w:val="Heading2"/>
        <w:spacing w:after="120" w:before="240"/>
      </w:pPr>
      <w:r>
        <w:t xml:space="preserve">7.4 Caveats</w:t>
      </w:r>
    </w:p>
    <w:p>
      <w:pPr>
        <w:spacing w:after="160"/>
        <w:jc w:val="left"/>
      </w:pPr>
      <w:r>
        <w:rPr>
          <w:rFonts w:ascii="Calibri" w:cs="Calibri" w:eastAsia="Calibri" w:hAnsi="Calibri"/>
          <w:b w:val="false"/>
          <w:bCs w:val="false"/>
          <w:i w:val="false"/>
          <w:iCs w:val="false"/>
          <w:sz w:val="22"/>
          <w:szCs w:val="22"/>
        </w:rPr>
        <w:t xml:space="preserve">This figure should be read as an upper bound on land-cover change, not a direct measurement of forest-to-facility conversion. The corridor was previously oil palm estate, and the Hansen dataset's canopy definition (greater than 30% canopy cover, no minimum stand age) does not distinguish plantation harvest-and-replant cycling from genuine forest clearance. The polygon was also hand-drawn as a generous bounding box for pilot purposes, not fitted to parcel boundaries or timed to each facility's construction start date, so the loss figure reflects the full 2001 to 2025 corridor history rather than loss specifically attributable to data centre construction.</w:t>
      </w:r>
    </w:p>
    <w:p>
      <w:pPr>
        <w:pStyle w:val="Heading2"/>
        <w:spacing w:after="120" w:before="240"/>
      </w:pPr>
      <w:r>
        <w:t xml:space="preserve">7.5 Full rollout across the 71-building dataset</w:t>
      </w:r>
    </w:p>
    <w:p>
      <w:pPr>
        <w:spacing w:after="160"/>
        <w:jc w:val="left"/>
      </w:pPr>
      <w:r>
        <w:rPr>
          <w:rFonts w:ascii="Calibri" w:cs="Calibri" w:eastAsia="Calibri" w:hAnsi="Calibri"/>
          <w:b w:val="false"/>
          <w:bCs w:val="false"/>
          <w:i w:val="false"/>
          <w:iCs w:val="false"/>
          <w:sz w:val="22"/>
          <w:szCs w:val="22"/>
        </w:rPr>
        <w:t xml:space="preserve">The pilot was subsequently extended to the full 71-building deduplicated facility set. Facilities were grouped by single-linkage geographic clustering (haversine distance, 8 km threshold) into 18 corridors, each analysed as a Hansen GFC area of interest via the Global Forest Watch interactive map, following the same method as the Sedenak pilot in Section 7.2. One corridor (STT Johor 1 / Empyrion Digital MY1, 2 buildings) returned a marine area of interest centred on Marina Bay, Singapore, rather than a terrestrial Johor location, a second independent geocoding failure alongside Digital Halo JHB1 (Section 3.5); it is excluded from the results below and flagged for re-geocoding as a further QA finding. Digital Halo JHB1 itself (already confirmed out-of-country, Section 3.5) was excluded from clustering. The remaining 16 valid corridors, covering 68 of the 71 buildings, are summarised in Table 7.1.</w:t>
      </w:r>
    </w:p>
    <w:p>
      <w:pPr>
        <w:spacing w:after="100" w:before="60"/>
      </w:pPr>
      <w:r>
        <w:rPr>
          <w:rFonts w:ascii="Calibri" w:cs="Calibri" w:eastAsia="Calibri" w:hAnsi="Calibri"/>
          <w:i/>
          <w:iCs/>
          <w:sz w:val="18"/>
          <w:szCs w:val="18"/>
        </w:rPr>
        <w:t xml:space="preserve">Table 7.1. Tree cover loss by facility corridor, Hansen Global Forest Change, 2001–2025.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600"/>
        <w:gridCol w:w="2000"/>
      </w:tblGrid>
      <w:tr>
        <w:tc>
          <w:tcPr>
            <w:tcW w:type="dxa" w:w="2600"/>
            <w:shd w:fill="1F3864" w:val="clear"/>
            <w:vAlign w:val="center"/>
          </w:tcPr>
          <w:p>
            <w:r>
              <w:rPr>
                <w:rFonts w:ascii="Calibri" w:cs="Calibri" w:eastAsia="Calibri" w:hAnsi="Calibri"/>
                <w:b/>
                <w:bCs/>
                <w:color w:val="FFFFFF"/>
                <w:sz w:val="18"/>
                <w:szCs w:val="18"/>
              </w:rPr>
              <w:t xml:space="preserve">Corridor</w:t>
            </w:r>
          </w:p>
        </w:tc>
        <w:tc>
          <w:tcPr>
            <w:tcW w:type="dxa" w:w="1400"/>
            <w:shd w:fill="1F3864" w:val="clear"/>
            <w:vAlign w:val="center"/>
          </w:tcPr>
          <w:p>
            <w:r>
              <w:rPr>
                <w:rFonts w:ascii="Calibri" w:cs="Calibri" w:eastAsia="Calibri" w:hAnsi="Calibri"/>
                <w:b/>
                <w:bCs/>
                <w:color w:val="FFFFFF"/>
                <w:sz w:val="18"/>
                <w:szCs w:val="18"/>
              </w:rPr>
              <w:t xml:space="preserve">Buildings</w:t>
            </w:r>
          </w:p>
        </w:tc>
        <w:tc>
          <w:tcPr>
            <w:tcW w:type="dxa" w:w="1600"/>
            <w:shd w:fill="1F3864" w:val="clear"/>
            <w:vAlign w:val="center"/>
          </w:tcPr>
          <w:p>
            <w:r>
              <w:rPr>
                <w:rFonts w:ascii="Calibri" w:cs="Calibri" w:eastAsia="Calibri" w:hAnsi="Calibri"/>
                <w:b/>
                <w:bCs/>
                <w:color w:val="FFFFFF"/>
                <w:sz w:val="18"/>
                <w:szCs w:val="18"/>
              </w:rPr>
              <w:t xml:space="preserve">AOI (ha)</w:t>
            </w:r>
          </w:p>
        </w:tc>
        <w:tc>
          <w:tcPr>
            <w:tcW w:type="dxa" w:w="1600"/>
            <w:shd w:fill="1F3864" w:val="clear"/>
            <w:vAlign w:val="center"/>
          </w:tcPr>
          <w:p>
            <w:r>
              <w:rPr>
                <w:rFonts w:ascii="Calibri" w:cs="Calibri" w:eastAsia="Calibri" w:hAnsi="Calibri"/>
                <w:b/>
                <w:bCs/>
                <w:color w:val="FFFFFF"/>
                <w:sz w:val="18"/>
                <w:szCs w:val="18"/>
              </w:rPr>
              <w:t xml:space="preserve">Loss (ha)</w:t>
            </w:r>
          </w:p>
        </w:tc>
        <w:tc>
          <w:tcPr>
            <w:tcW w:type="dxa" w:w="2000"/>
            <w:shd w:fill="1F3864" w:val="clear"/>
            <w:vAlign w:val="center"/>
          </w:tcPr>
          <w:p>
            <w:r>
              <w:rPr>
                <w:rFonts w:ascii="Calibri" w:cs="Calibri" w:eastAsia="Calibri" w:hAnsi="Calibri"/>
                <w:b/>
                <w:bCs/>
                <w:color w:val="FFFFFF"/>
                <w:sz w:val="18"/>
                <w:szCs w:val="18"/>
              </w:rPr>
              <w:t xml:space="preserve">Loss (% of 2000 baseline)</w:t>
            </w:r>
          </w:p>
        </w:tc>
      </w:tr>
      <w:tr>
        <w:tc>
          <w:tcPr>
            <w:tcW w:type="dxa" w:w="2600"/>
            <w:vAlign w:val="center"/>
          </w:tcPr>
          <w:p>
            <w:r>
              <w:rPr>
                <w:rFonts w:ascii="Calibri" w:cs="Calibri" w:eastAsia="Calibri" w:hAnsi="Calibri"/>
                <w:b w:val="false"/>
                <w:bCs w:val="false"/>
                <w:color w:val="000000"/>
                <w:sz w:val="18"/>
                <w:szCs w:val="18"/>
              </w:rPr>
              <w:t xml:space="preserve">Cyberjaya</w:t>
            </w:r>
          </w:p>
        </w:tc>
        <w:tc>
          <w:tcPr>
            <w:tcW w:type="dxa" w:w="1400"/>
            <w:vAlign w:val="center"/>
          </w:tcPr>
          <w:p>
            <w:r>
              <w:rPr>
                <w:rFonts w:ascii="Calibri" w:cs="Calibri" w:eastAsia="Calibri" w:hAnsi="Calibri"/>
                <w:b w:val="false"/>
                <w:bCs w:val="false"/>
                <w:color w:val="000000"/>
                <w:sz w:val="18"/>
                <w:szCs w:val="18"/>
              </w:rPr>
              <w:t xml:space="preserve">18</w:t>
            </w:r>
          </w:p>
        </w:tc>
        <w:tc>
          <w:tcPr>
            <w:tcW w:type="dxa" w:w="1600"/>
            <w:vAlign w:val="center"/>
          </w:tcPr>
          <w:p>
            <w:r>
              <w:rPr>
                <w:rFonts w:ascii="Calibri" w:cs="Calibri" w:eastAsia="Calibri" w:hAnsi="Calibri"/>
                <w:b w:val="false"/>
                <w:bCs w:val="false"/>
                <w:color w:val="000000"/>
                <w:sz w:val="18"/>
                <w:szCs w:val="18"/>
              </w:rPr>
              <w:t xml:space="preserve">572.85</w:t>
            </w:r>
          </w:p>
        </w:tc>
        <w:tc>
          <w:tcPr>
            <w:tcW w:type="dxa" w:w="1600"/>
            <w:vAlign w:val="center"/>
          </w:tcPr>
          <w:p>
            <w:r>
              <w:rPr>
                <w:rFonts w:ascii="Calibri" w:cs="Calibri" w:eastAsia="Calibri" w:hAnsi="Calibri"/>
                <w:b w:val="false"/>
                <w:bCs w:val="false"/>
                <w:color w:val="000000"/>
                <w:sz w:val="18"/>
                <w:szCs w:val="18"/>
              </w:rPr>
              <w:t xml:space="preserve">100</w:t>
            </w:r>
          </w:p>
        </w:tc>
        <w:tc>
          <w:tcPr>
            <w:tcW w:type="dxa" w:w="2000"/>
            <w:vAlign w:val="center"/>
          </w:tcPr>
          <w:p>
            <w:r>
              <w:rPr>
                <w:rFonts w:ascii="Calibri" w:cs="Calibri" w:eastAsia="Calibri" w:hAnsi="Calibri"/>
                <w:b w:val="false"/>
                <w:bCs w:val="false"/>
                <w:color w:val="000000"/>
                <w:sz w:val="18"/>
                <w:szCs w:val="18"/>
              </w:rPr>
              <w:t xml:space="preserve">77%</w:t>
            </w:r>
          </w:p>
        </w:tc>
      </w:tr>
      <w:tr>
        <w:tc>
          <w:tcPr>
            <w:tcW w:type="dxa" w:w="2600"/>
            <w:vAlign w:val="center"/>
          </w:tcPr>
          <w:p>
            <w:r>
              <w:rPr>
                <w:rFonts w:ascii="Calibri" w:cs="Calibri" w:eastAsia="Calibri" w:hAnsi="Calibri"/>
                <w:b w:val="false"/>
                <w:bCs w:val="false"/>
                <w:color w:val="000000"/>
                <w:sz w:val="18"/>
                <w:szCs w:val="18"/>
              </w:rPr>
              <w:t xml:space="preserve">KL Bangsar/Damansara</w:t>
            </w:r>
          </w:p>
        </w:tc>
        <w:tc>
          <w:tcPr>
            <w:tcW w:type="dxa" w:w="1400"/>
            <w:vAlign w:val="center"/>
          </w:tcPr>
          <w:p>
            <w:r>
              <w:rPr>
                <w:rFonts w:ascii="Calibri" w:cs="Calibri" w:eastAsia="Calibri" w:hAnsi="Calibri"/>
                <w:b w:val="false"/>
                <w:bCs w:val="false"/>
                <w:color w:val="000000"/>
                <w:sz w:val="18"/>
                <w:szCs w:val="18"/>
              </w:rPr>
              <w:t xml:space="preserve">13</w:t>
            </w:r>
          </w:p>
        </w:tc>
        <w:tc>
          <w:tcPr>
            <w:tcW w:type="dxa" w:w="1600"/>
            <w:vAlign w:val="center"/>
          </w:tcPr>
          <w:p>
            <w:r>
              <w:rPr>
                <w:rFonts w:ascii="Calibri" w:cs="Calibri" w:eastAsia="Calibri" w:hAnsi="Calibri"/>
                <w:b w:val="false"/>
                <w:bCs w:val="false"/>
                <w:color w:val="000000"/>
                <w:sz w:val="18"/>
                <w:szCs w:val="18"/>
              </w:rPr>
              <w:t xml:space="preserve">4330.00</w:t>
            </w:r>
          </w:p>
        </w:tc>
        <w:tc>
          <w:tcPr>
            <w:tcW w:type="dxa" w:w="1600"/>
            <w:vAlign w:val="center"/>
          </w:tcPr>
          <w:p>
            <w:r>
              <w:rPr>
                <w:rFonts w:ascii="Calibri" w:cs="Calibri" w:eastAsia="Calibri" w:hAnsi="Calibri"/>
                <w:b w:val="false"/>
                <w:bCs w:val="false"/>
                <w:color w:val="000000"/>
                <w:sz w:val="18"/>
                <w:szCs w:val="18"/>
              </w:rPr>
              <w:t xml:space="preserve">120</w:t>
            </w:r>
          </w:p>
        </w:tc>
        <w:tc>
          <w:tcPr>
            <w:tcW w:type="dxa" w:w="2000"/>
            <w:vAlign w:val="center"/>
          </w:tcPr>
          <w:p>
            <w:r>
              <w:rPr>
                <w:rFonts w:ascii="Calibri" w:cs="Calibri" w:eastAsia="Calibri" w:hAnsi="Calibri"/>
                <w:b w:val="false"/>
                <w:bCs w:val="false"/>
                <w:color w:val="000000"/>
                <w:sz w:val="18"/>
                <w:szCs w:val="18"/>
              </w:rPr>
              <w:t xml:space="preserve">11%</w:t>
            </w:r>
          </w:p>
        </w:tc>
      </w:tr>
      <w:tr>
        <w:tc>
          <w:tcPr>
            <w:tcW w:type="dxa" w:w="2600"/>
            <w:vAlign w:val="center"/>
          </w:tcPr>
          <w:p>
            <w:r>
              <w:rPr>
                <w:rFonts w:ascii="Calibri" w:cs="Calibri" w:eastAsia="Calibri" w:hAnsi="Calibri"/>
                <w:b w:val="false"/>
                <w:bCs w:val="false"/>
                <w:color w:val="000000"/>
                <w:sz w:val="18"/>
                <w:szCs w:val="18"/>
              </w:rPr>
              <w:t xml:space="preserve">Nusajaya/Iskandar Puteri</w:t>
            </w:r>
          </w:p>
        </w:tc>
        <w:tc>
          <w:tcPr>
            <w:tcW w:type="dxa" w:w="1400"/>
            <w:vAlign w:val="center"/>
          </w:tcPr>
          <w:p>
            <w:r>
              <w:rPr>
                <w:rFonts w:ascii="Calibri" w:cs="Calibri" w:eastAsia="Calibri" w:hAnsi="Calibri"/>
                <w:b w:val="false"/>
                <w:bCs w:val="false"/>
                <w:color w:val="000000"/>
                <w:sz w:val="18"/>
                <w:szCs w:val="18"/>
              </w:rPr>
              <w:t xml:space="preserve">11</w:t>
            </w:r>
          </w:p>
        </w:tc>
        <w:tc>
          <w:tcPr>
            <w:tcW w:type="dxa" w:w="1600"/>
            <w:vAlign w:val="center"/>
          </w:tcPr>
          <w:p>
            <w:r>
              <w:rPr>
                <w:rFonts w:ascii="Calibri" w:cs="Calibri" w:eastAsia="Calibri" w:hAnsi="Calibri"/>
                <w:b w:val="false"/>
                <w:bCs w:val="false"/>
                <w:color w:val="000000"/>
                <w:sz w:val="18"/>
                <w:szCs w:val="18"/>
              </w:rPr>
              <w:t xml:space="preserve">1650.00</w:t>
            </w:r>
          </w:p>
        </w:tc>
        <w:tc>
          <w:tcPr>
            <w:tcW w:type="dxa" w:w="1600"/>
            <w:vAlign w:val="center"/>
          </w:tcPr>
          <w:p>
            <w:r>
              <w:rPr>
                <w:rFonts w:ascii="Calibri" w:cs="Calibri" w:eastAsia="Calibri" w:hAnsi="Calibri"/>
                <w:b w:val="false"/>
                <w:bCs w:val="false"/>
                <w:color w:val="000000"/>
                <w:sz w:val="18"/>
                <w:szCs w:val="18"/>
              </w:rPr>
              <w:t xml:space="preserve">660</w:t>
            </w:r>
          </w:p>
        </w:tc>
        <w:tc>
          <w:tcPr>
            <w:tcW w:type="dxa" w:w="2000"/>
            <w:vAlign w:val="center"/>
          </w:tcPr>
          <w:p>
            <w:r>
              <w:rPr>
                <w:rFonts w:ascii="Calibri" w:cs="Calibri" w:eastAsia="Calibri" w:hAnsi="Calibri"/>
                <w:b w:val="false"/>
                <w:bCs w:val="false"/>
                <w:color w:val="000000"/>
                <w:sz w:val="18"/>
                <w:szCs w:val="18"/>
              </w:rPr>
              <w:t xml:space="preserve">71%</w:t>
            </w:r>
          </w:p>
        </w:tc>
      </w:tr>
      <w:tr>
        <w:tc>
          <w:tcPr>
            <w:tcW w:type="dxa" w:w="2600"/>
            <w:vAlign w:val="center"/>
          </w:tcPr>
          <w:p>
            <w:r>
              <w:rPr>
                <w:rFonts w:ascii="Calibri" w:cs="Calibri" w:eastAsia="Calibri" w:hAnsi="Calibri"/>
                <w:b w:val="false"/>
                <w:bCs w:val="false"/>
                <w:color w:val="000000"/>
                <w:sz w:val="18"/>
                <w:szCs w:val="18"/>
              </w:rPr>
              <w:t xml:space="preserve">Sedenak (pilot corridor)</w:t>
            </w:r>
          </w:p>
        </w:tc>
        <w:tc>
          <w:tcPr>
            <w:tcW w:type="dxa" w:w="1400"/>
            <w:vAlign w:val="center"/>
          </w:tcPr>
          <w:p>
            <w:r>
              <w:rPr>
                <w:rFonts w:ascii="Calibri" w:cs="Calibri" w:eastAsia="Calibri" w:hAnsi="Calibri"/>
                <w:b w:val="false"/>
                <w:bCs w:val="false"/>
                <w:color w:val="000000"/>
                <w:sz w:val="18"/>
                <w:szCs w:val="18"/>
              </w:rPr>
              <w:t xml:space="preserve">5</w:t>
            </w:r>
          </w:p>
        </w:tc>
        <w:tc>
          <w:tcPr>
            <w:tcW w:type="dxa" w:w="1600"/>
            <w:vAlign w:val="center"/>
          </w:tcPr>
          <w:p>
            <w:r>
              <w:rPr>
                <w:rFonts w:ascii="Calibri" w:cs="Calibri" w:eastAsia="Calibri" w:hAnsi="Calibri"/>
                <w:b w:val="false"/>
                <w:bCs w:val="false"/>
                <w:color w:val="000000"/>
                <w:sz w:val="18"/>
                <w:szCs w:val="18"/>
              </w:rPr>
              <w:t xml:space="preserve">536.30</w:t>
            </w:r>
          </w:p>
        </w:tc>
        <w:tc>
          <w:tcPr>
            <w:tcW w:type="dxa" w:w="1600"/>
            <w:vAlign w:val="center"/>
          </w:tcPr>
          <w:p>
            <w:r>
              <w:rPr>
                <w:rFonts w:ascii="Calibri" w:cs="Calibri" w:eastAsia="Calibri" w:hAnsi="Calibri"/>
                <w:b w:val="false"/>
                <w:bCs w:val="false"/>
                <w:color w:val="000000"/>
                <w:sz w:val="18"/>
                <w:szCs w:val="18"/>
              </w:rPr>
              <w:t xml:space="preserve">210</w:t>
            </w:r>
          </w:p>
        </w:tc>
        <w:tc>
          <w:tcPr>
            <w:tcW w:type="dxa" w:w="2000"/>
            <w:vAlign w:val="center"/>
          </w:tcPr>
          <w:p>
            <w:r>
              <w:rPr>
                <w:rFonts w:ascii="Calibri" w:cs="Calibri" w:eastAsia="Calibri" w:hAnsi="Calibri"/>
                <w:b w:val="false"/>
                <w:bCs w:val="false"/>
                <w:color w:val="000000"/>
                <w:sz w:val="18"/>
                <w:szCs w:val="18"/>
              </w:rPr>
              <w:t xml:space="preserve">67% (54 ha gain, 2000-2020)</w:t>
            </w:r>
          </w:p>
        </w:tc>
      </w:tr>
      <w:tr>
        <w:tc>
          <w:tcPr>
            <w:tcW w:type="dxa" w:w="2600"/>
            <w:vAlign w:val="center"/>
          </w:tcPr>
          <w:p>
            <w:r>
              <w:rPr>
                <w:rFonts w:ascii="Calibri" w:cs="Calibri" w:eastAsia="Calibri" w:hAnsi="Calibri"/>
                <w:b w:val="false"/>
                <w:bCs w:val="false"/>
                <w:color w:val="000000"/>
                <w:sz w:val="18"/>
                <w:szCs w:val="18"/>
              </w:rPr>
              <w:t xml:space="preserve">Penang (PE1/PE2/Exabytes)</w:t>
            </w:r>
          </w:p>
        </w:tc>
        <w:tc>
          <w:tcPr>
            <w:tcW w:type="dxa" w:w="1400"/>
            <w:vAlign w:val="center"/>
          </w:tcPr>
          <w:p>
            <w:r>
              <w:rPr>
                <w:rFonts w:ascii="Calibri" w:cs="Calibri" w:eastAsia="Calibri" w:hAnsi="Calibri"/>
                <w:b w:val="false"/>
                <w:bCs w:val="false"/>
                <w:color w:val="000000"/>
                <w:sz w:val="18"/>
                <w:szCs w:val="18"/>
              </w:rPr>
              <w:t xml:space="preserve">3</w:t>
            </w:r>
          </w:p>
        </w:tc>
        <w:tc>
          <w:tcPr>
            <w:tcW w:type="dxa" w:w="1600"/>
            <w:vAlign w:val="center"/>
          </w:tcPr>
          <w:p>
            <w:r>
              <w:rPr>
                <w:rFonts w:ascii="Calibri" w:cs="Calibri" w:eastAsia="Calibri" w:hAnsi="Calibri"/>
                <w:b w:val="false"/>
                <w:bCs w:val="false"/>
                <w:color w:val="000000"/>
                <w:sz w:val="18"/>
                <w:szCs w:val="18"/>
              </w:rPr>
              <w:t xml:space="preserve">462.53</w:t>
            </w:r>
          </w:p>
        </w:tc>
        <w:tc>
          <w:tcPr>
            <w:tcW w:type="dxa" w:w="1600"/>
            <w:vAlign w:val="center"/>
          </w:tcPr>
          <w:p>
            <w:r>
              <w:rPr>
                <w:rFonts w:ascii="Calibri" w:cs="Calibri" w:eastAsia="Calibri" w:hAnsi="Calibri"/>
                <w:b w:val="false"/>
                <w:bCs w:val="false"/>
                <w:color w:val="000000"/>
                <w:sz w:val="18"/>
                <w:szCs w:val="18"/>
              </w:rPr>
              <w:t xml:space="preserve">5.0</w:t>
            </w:r>
          </w:p>
        </w:tc>
        <w:tc>
          <w:tcPr>
            <w:tcW w:type="dxa" w:w="2000"/>
            <w:vAlign w:val="center"/>
          </w:tcPr>
          <w:p>
            <w:r>
              <w:rPr>
                <w:rFonts w:ascii="Calibri" w:cs="Calibri" w:eastAsia="Calibri" w:hAnsi="Calibri"/>
                <w:b w:val="false"/>
                <w:bCs w:val="false"/>
                <w:color w:val="000000"/>
                <w:sz w:val="18"/>
                <w:szCs w:val="18"/>
              </w:rPr>
              <w:t xml:space="preserve">15%</w:t>
            </w:r>
          </w:p>
        </w:tc>
      </w:tr>
      <w:tr>
        <w:tc>
          <w:tcPr>
            <w:tcW w:type="dxa" w:w="2600"/>
            <w:vAlign w:val="center"/>
          </w:tcPr>
          <w:p>
            <w:r>
              <w:rPr>
                <w:rFonts w:ascii="Calibri" w:cs="Calibri" w:eastAsia="Calibri" w:hAnsi="Calibri"/>
                <w:b w:val="false"/>
                <w:bCs w:val="false"/>
                <w:color w:val="000000"/>
                <w:sz w:val="18"/>
                <w:szCs w:val="18"/>
              </w:rPr>
              <w:t xml:space="preserve">YTL Kulai</w:t>
            </w:r>
          </w:p>
        </w:tc>
        <w:tc>
          <w:tcPr>
            <w:tcW w:type="dxa" w:w="1400"/>
            <w:vAlign w:val="center"/>
          </w:tcPr>
          <w:p>
            <w:r>
              <w:rPr>
                <w:rFonts w:ascii="Calibri" w:cs="Calibri" w:eastAsia="Calibri" w:hAnsi="Calibri"/>
                <w:b w:val="false"/>
                <w:bCs w:val="false"/>
                <w:color w:val="000000"/>
                <w:sz w:val="18"/>
                <w:szCs w:val="18"/>
              </w:rPr>
              <w:t xml:space="preserve">3</w:t>
            </w:r>
          </w:p>
        </w:tc>
        <w:tc>
          <w:tcPr>
            <w:tcW w:type="dxa" w:w="1600"/>
            <w:vAlign w:val="center"/>
          </w:tcPr>
          <w:p>
            <w:r>
              <w:rPr>
                <w:rFonts w:ascii="Calibri" w:cs="Calibri" w:eastAsia="Calibri" w:hAnsi="Calibri"/>
                <w:b w:val="false"/>
                <w:bCs w:val="false"/>
                <w:color w:val="000000"/>
                <w:sz w:val="18"/>
                <w:szCs w:val="18"/>
              </w:rPr>
              <w:t xml:space="preserve">105.75</w:t>
            </w:r>
          </w:p>
        </w:tc>
        <w:tc>
          <w:tcPr>
            <w:tcW w:type="dxa" w:w="1600"/>
            <w:vAlign w:val="center"/>
          </w:tcPr>
          <w:p>
            <w:r>
              <w:rPr>
                <w:rFonts w:ascii="Calibri" w:cs="Calibri" w:eastAsia="Calibri" w:hAnsi="Calibri"/>
                <w:b w:val="false"/>
                <w:bCs w:val="false"/>
                <w:color w:val="000000"/>
                <w:sz w:val="18"/>
                <w:szCs w:val="18"/>
              </w:rPr>
              <w:t xml:space="preserve">100</w:t>
            </w:r>
          </w:p>
        </w:tc>
        <w:tc>
          <w:tcPr>
            <w:tcW w:type="dxa" w:w="2000"/>
            <w:vAlign w:val="center"/>
          </w:tcPr>
          <w:p>
            <w:r>
              <w:rPr>
                <w:rFonts w:ascii="Calibri" w:cs="Calibri" w:eastAsia="Calibri" w:hAnsi="Calibri"/>
                <w:b w:val="false"/>
                <w:bCs w:val="false"/>
                <w:color w:val="000000"/>
                <w:sz w:val="18"/>
                <w:szCs w:val="18"/>
              </w:rPr>
              <w:t xml:space="preserve">97%</w:t>
            </w:r>
          </w:p>
        </w:tc>
      </w:tr>
      <w:tr>
        <w:tc>
          <w:tcPr>
            <w:tcW w:type="dxa" w:w="2600"/>
            <w:vAlign w:val="center"/>
          </w:tcPr>
          <w:p>
            <w:r>
              <w:rPr>
                <w:rFonts w:ascii="Calibri" w:cs="Calibri" w:eastAsia="Calibri" w:hAnsi="Calibri"/>
                <w:b w:val="false"/>
                <w:bCs w:val="false"/>
                <w:color w:val="000000"/>
                <w:sz w:val="18"/>
                <w:szCs w:val="18"/>
              </w:rPr>
              <w:t xml:space="preserve">Shah Alam i-City</w:t>
            </w:r>
          </w:p>
        </w:tc>
        <w:tc>
          <w:tcPr>
            <w:tcW w:type="dxa" w:w="1400"/>
            <w:vAlign w:val="center"/>
          </w:tcPr>
          <w:p>
            <w:r>
              <w:rPr>
                <w:rFonts w:ascii="Calibri" w:cs="Calibri" w:eastAsia="Calibri" w:hAnsi="Calibri"/>
                <w:b w:val="false"/>
                <w:bCs w:val="false"/>
                <w:color w:val="000000"/>
                <w:sz w:val="18"/>
                <w:szCs w:val="18"/>
              </w:rPr>
              <w:t xml:space="preserve">3</w:t>
            </w:r>
          </w:p>
        </w:tc>
        <w:tc>
          <w:tcPr>
            <w:tcW w:type="dxa" w:w="1600"/>
            <w:vAlign w:val="center"/>
          </w:tcPr>
          <w:p>
            <w:r>
              <w:rPr>
                <w:rFonts w:ascii="Calibri" w:cs="Calibri" w:eastAsia="Calibri" w:hAnsi="Calibri"/>
                <w:b w:val="false"/>
                <w:bCs w:val="false"/>
                <w:color w:val="000000"/>
                <w:sz w:val="18"/>
                <w:szCs w:val="18"/>
              </w:rPr>
              <w:t xml:space="preserve">116.29</w:t>
            </w:r>
          </w:p>
        </w:tc>
        <w:tc>
          <w:tcPr>
            <w:tcW w:type="dxa" w:w="1600"/>
            <w:vAlign w:val="center"/>
          </w:tcPr>
          <w:p>
            <w:r>
              <w:rPr>
                <w:rFonts w:ascii="Calibri" w:cs="Calibri" w:eastAsia="Calibri" w:hAnsi="Calibri"/>
                <w:b w:val="false"/>
                <w:bCs w:val="false"/>
                <w:color w:val="000000"/>
                <w:sz w:val="18"/>
                <w:szCs w:val="18"/>
              </w:rPr>
              <w:t xml:space="preserve">2.0</w:t>
            </w:r>
          </w:p>
        </w:tc>
        <w:tc>
          <w:tcPr>
            <w:tcW w:type="dxa" w:w="2000"/>
            <w:vAlign w:val="center"/>
          </w:tcPr>
          <w:p>
            <w:r>
              <w:rPr>
                <w:rFonts w:ascii="Calibri" w:cs="Calibri" w:eastAsia="Calibri" w:hAnsi="Calibri"/>
                <w:b w:val="false"/>
                <w:bCs w:val="false"/>
                <w:color w:val="000000"/>
                <w:sz w:val="18"/>
                <w:szCs w:val="18"/>
              </w:rPr>
              <w:t xml:space="preserve">48%</w:t>
            </w:r>
          </w:p>
        </w:tc>
      </w:tr>
      <w:tr>
        <w:tc>
          <w:tcPr>
            <w:tcW w:type="dxa" w:w="2600"/>
            <w:vAlign w:val="center"/>
          </w:tcPr>
          <w:p>
            <w:r>
              <w:rPr>
                <w:rFonts w:ascii="Calibri" w:cs="Calibri" w:eastAsia="Calibri" w:hAnsi="Calibri"/>
                <w:b w:val="false"/>
                <w:bCs w:val="false"/>
                <w:color w:val="000000"/>
                <w:sz w:val="18"/>
                <w:szCs w:val="18"/>
              </w:rPr>
              <w:t xml:space="preserve">Nilai/Labu</w:t>
            </w:r>
          </w:p>
        </w:tc>
        <w:tc>
          <w:tcPr>
            <w:tcW w:type="dxa" w:w="1400"/>
            <w:vAlign w:val="center"/>
          </w:tcPr>
          <w:p>
            <w:r>
              <w:rPr>
                <w:rFonts w:ascii="Calibri" w:cs="Calibri" w:eastAsia="Calibri" w:hAnsi="Calibri"/>
                <w:b w:val="false"/>
                <w:bCs w:val="false"/>
                <w:color w:val="000000"/>
                <w:sz w:val="18"/>
                <w:szCs w:val="18"/>
              </w:rPr>
              <w:t xml:space="preserve">2</w:t>
            </w:r>
          </w:p>
        </w:tc>
        <w:tc>
          <w:tcPr>
            <w:tcW w:type="dxa" w:w="1600"/>
            <w:vAlign w:val="center"/>
          </w:tcPr>
          <w:p>
            <w:r>
              <w:rPr>
                <w:rFonts w:ascii="Calibri" w:cs="Calibri" w:eastAsia="Calibri" w:hAnsi="Calibri"/>
                <w:b w:val="false"/>
                <w:bCs w:val="false"/>
                <w:color w:val="000000"/>
                <w:sz w:val="18"/>
                <w:szCs w:val="18"/>
              </w:rPr>
              <w:t xml:space="preserve">107.07</w:t>
            </w:r>
          </w:p>
        </w:tc>
        <w:tc>
          <w:tcPr>
            <w:tcW w:type="dxa" w:w="1600"/>
            <w:vAlign w:val="center"/>
          </w:tcPr>
          <w:p>
            <w:r>
              <w:rPr>
                <w:rFonts w:ascii="Calibri" w:cs="Calibri" w:eastAsia="Calibri" w:hAnsi="Calibri"/>
                <w:b w:val="false"/>
                <w:bCs w:val="false"/>
                <w:color w:val="000000"/>
                <w:sz w:val="18"/>
                <w:szCs w:val="18"/>
              </w:rPr>
              <w:t xml:space="preserve">97</w:t>
            </w:r>
          </w:p>
        </w:tc>
        <w:tc>
          <w:tcPr>
            <w:tcW w:type="dxa" w:w="2000"/>
            <w:vAlign w:val="center"/>
          </w:tcPr>
          <w:p>
            <w:r>
              <w:rPr>
                <w:rFonts w:ascii="Calibri" w:cs="Calibri" w:eastAsia="Calibri" w:hAnsi="Calibri"/>
                <w:b w:val="false"/>
                <w:bCs w:val="false"/>
                <w:color w:val="000000"/>
                <w:sz w:val="18"/>
                <w:szCs w:val="18"/>
              </w:rPr>
              <w:t xml:space="preserve">96%</w:t>
            </w:r>
          </w:p>
        </w:tc>
      </w:tr>
      <w:tr>
        <w:tc>
          <w:tcPr>
            <w:tcW w:type="dxa" w:w="2600"/>
            <w:vAlign w:val="center"/>
          </w:tcPr>
          <w:p>
            <w:r>
              <w:rPr>
                <w:rFonts w:ascii="Calibri" w:cs="Calibri" w:eastAsia="Calibri" w:hAnsi="Calibri"/>
                <w:b w:val="false"/>
                <w:bCs w:val="false"/>
                <w:color w:val="000000"/>
                <w:sz w:val="18"/>
                <w:szCs w:val="18"/>
              </w:rPr>
              <w:t xml:space="preserve">Kedah SBEZ</w:t>
            </w:r>
          </w:p>
        </w:tc>
        <w:tc>
          <w:tcPr>
            <w:tcW w:type="dxa" w:w="1400"/>
            <w:vAlign w:val="center"/>
          </w:tcPr>
          <w:p>
            <w:r>
              <w:rPr>
                <w:rFonts w:ascii="Calibri" w:cs="Calibri" w:eastAsia="Calibri" w:hAnsi="Calibri"/>
                <w:b w:val="false"/>
                <w:bCs w:val="false"/>
                <w:color w:val="000000"/>
                <w:sz w:val="18"/>
                <w:szCs w:val="18"/>
              </w:rPr>
              <w:t xml:space="preserve">2</w:t>
            </w:r>
          </w:p>
        </w:tc>
        <w:tc>
          <w:tcPr>
            <w:tcW w:type="dxa" w:w="1600"/>
            <w:vAlign w:val="center"/>
          </w:tcPr>
          <w:p>
            <w:r>
              <w:rPr>
                <w:rFonts w:ascii="Calibri" w:cs="Calibri" w:eastAsia="Calibri" w:hAnsi="Calibri"/>
                <w:b w:val="false"/>
                <w:bCs w:val="false"/>
                <w:color w:val="000000"/>
                <w:sz w:val="18"/>
                <w:szCs w:val="18"/>
              </w:rPr>
              <w:t xml:space="preserve">224.00</w:t>
            </w:r>
          </w:p>
        </w:tc>
        <w:tc>
          <w:tcPr>
            <w:tcW w:type="dxa" w:w="1600"/>
            <w:vAlign w:val="center"/>
          </w:tcPr>
          <w:p>
            <w:r>
              <w:rPr>
                <w:rFonts w:ascii="Calibri" w:cs="Calibri" w:eastAsia="Calibri" w:hAnsi="Calibri"/>
                <w:b w:val="false"/>
                <w:bCs w:val="false"/>
                <w:color w:val="000000"/>
                <w:sz w:val="18"/>
                <w:szCs w:val="18"/>
              </w:rPr>
              <w:t xml:space="preserve">49</w:t>
            </w:r>
          </w:p>
        </w:tc>
        <w:tc>
          <w:tcPr>
            <w:tcW w:type="dxa" w:w="2000"/>
            <w:vAlign w:val="center"/>
          </w:tcPr>
          <w:p>
            <w:r>
              <w:rPr>
                <w:rFonts w:ascii="Calibri" w:cs="Calibri" w:eastAsia="Calibri" w:hAnsi="Calibri"/>
                <w:b w:val="false"/>
                <w:bCs w:val="false"/>
                <w:color w:val="000000"/>
                <w:sz w:val="18"/>
                <w:szCs w:val="18"/>
              </w:rPr>
              <w:t xml:space="preserve">87%</w:t>
            </w:r>
          </w:p>
        </w:tc>
      </w:tr>
      <w:tr>
        <w:tc>
          <w:tcPr>
            <w:tcW w:type="dxa" w:w="2600"/>
            <w:vAlign w:val="center"/>
          </w:tcPr>
          <w:p>
            <w:r>
              <w:rPr>
                <w:rFonts w:ascii="Calibri" w:cs="Calibri" w:eastAsia="Calibri" w:hAnsi="Calibri"/>
                <w:b w:val="false"/>
                <w:bCs w:val="false"/>
                <w:color w:val="000000"/>
                <w:sz w:val="18"/>
                <w:szCs w:val="18"/>
              </w:rPr>
              <w:t xml:space="preserve">VADS Cyberport/Open DC-JB2</w:t>
            </w:r>
          </w:p>
        </w:tc>
        <w:tc>
          <w:tcPr>
            <w:tcW w:type="dxa" w:w="1400"/>
            <w:vAlign w:val="center"/>
          </w:tcPr>
          <w:p>
            <w:r>
              <w:rPr>
                <w:rFonts w:ascii="Calibri" w:cs="Calibri" w:eastAsia="Calibri" w:hAnsi="Calibri"/>
                <w:b w:val="false"/>
                <w:bCs w:val="false"/>
                <w:color w:val="000000"/>
                <w:sz w:val="18"/>
                <w:szCs w:val="18"/>
              </w:rPr>
              <w:t xml:space="preserve">2</w:t>
            </w:r>
          </w:p>
        </w:tc>
        <w:tc>
          <w:tcPr>
            <w:tcW w:type="dxa" w:w="1600"/>
            <w:vAlign w:val="center"/>
          </w:tcPr>
          <w:p>
            <w:r>
              <w:rPr>
                <w:rFonts w:ascii="Calibri" w:cs="Calibri" w:eastAsia="Calibri" w:hAnsi="Calibri"/>
                <w:b w:val="false"/>
                <w:bCs w:val="false"/>
                <w:color w:val="000000"/>
                <w:sz w:val="18"/>
                <w:szCs w:val="18"/>
              </w:rPr>
              <w:t xml:space="preserve">167.12</w:t>
            </w:r>
          </w:p>
        </w:tc>
        <w:tc>
          <w:tcPr>
            <w:tcW w:type="dxa" w:w="1600"/>
            <w:vAlign w:val="center"/>
          </w:tcPr>
          <w:p>
            <w:r>
              <w:rPr>
                <w:rFonts w:ascii="Calibri" w:cs="Calibri" w:eastAsia="Calibri" w:hAnsi="Calibri"/>
                <w:b w:val="false"/>
                <w:bCs w:val="false"/>
                <w:color w:val="000000"/>
                <w:sz w:val="18"/>
                <w:szCs w:val="18"/>
              </w:rPr>
              <w:t xml:space="preserve">&lt;1</w:t>
            </w:r>
          </w:p>
        </w:tc>
        <w:tc>
          <w:tcPr>
            <w:tcW w:type="dxa" w:w="2000"/>
            <w:vAlign w:val="center"/>
          </w:tcPr>
          <w:p>
            <w:r>
              <w:rPr>
                <w:rFonts w:ascii="Calibri" w:cs="Calibri" w:eastAsia="Calibri" w:hAnsi="Calibri"/>
                <w:b w:val="false"/>
                <w:bCs w:val="false"/>
                <w:color w:val="000000"/>
                <w:sz w:val="18"/>
                <w:szCs w:val="18"/>
              </w:rPr>
              <w:t xml:space="preserve">14%</w:t>
            </w:r>
          </w:p>
        </w:tc>
      </w:tr>
      <w:tr>
        <w:tc>
          <w:tcPr>
            <w:tcW w:type="dxa" w:w="2600"/>
            <w:vAlign w:val="center"/>
          </w:tcPr>
          <w:p>
            <w:r>
              <w:rPr>
                <w:rFonts w:ascii="Calibri" w:cs="Calibri" w:eastAsia="Calibri" w:hAnsi="Calibri"/>
                <w:b w:val="false"/>
                <w:bCs w:val="false"/>
                <w:color w:val="000000"/>
                <w:sz w:val="18"/>
                <w:szCs w:val="18"/>
              </w:rPr>
              <w:t xml:space="preserve">MaNaDr Kuching</w:t>
            </w:r>
          </w:p>
        </w:tc>
        <w:tc>
          <w:tcPr>
            <w:tcW w:type="dxa" w:w="1400"/>
            <w:vAlign w:val="center"/>
          </w:tcPr>
          <w:p>
            <w:r>
              <w:rPr>
                <w:rFonts w:ascii="Calibri" w:cs="Calibri" w:eastAsia="Calibri" w:hAnsi="Calibri"/>
                <w:b w:val="false"/>
                <w:bCs w:val="false"/>
                <w:color w:val="000000"/>
                <w:sz w:val="18"/>
                <w:szCs w:val="18"/>
              </w:rPr>
              <w:t xml:space="preserve">1</w:t>
            </w:r>
          </w:p>
        </w:tc>
        <w:tc>
          <w:tcPr>
            <w:tcW w:type="dxa" w:w="1600"/>
            <w:vAlign w:val="center"/>
          </w:tcPr>
          <w:p>
            <w:r>
              <w:rPr>
                <w:rFonts w:ascii="Calibri" w:cs="Calibri" w:eastAsia="Calibri" w:hAnsi="Calibri"/>
                <w:b w:val="false"/>
                <w:bCs w:val="false"/>
                <w:color w:val="000000"/>
                <w:sz w:val="18"/>
                <w:szCs w:val="18"/>
              </w:rPr>
              <w:t xml:space="preserve">105.76</w:t>
            </w:r>
          </w:p>
        </w:tc>
        <w:tc>
          <w:tcPr>
            <w:tcW w:type="dxa" w:w="1600"/>
            <w:vAlign w:val="center"/>
          </w:tcPr>
          <w:p>
            <w:r>
              <w:rPr>
                <w:rFonts w:ascii="Calibri" w:cs="Calibri" w:eastAsia="Calibri" w:hAnsi="Calibri"/>
                <w:b w:val="false"/>
                <w:bCs w:val="false"/>
                <w:color w:val="000000"/>
                <w:sz w:val="18"/>
                <w:szCs w:val="18"/>
              </w:rPr>
              <w:t xml:space="preserve">0</w:t>
            </w:r>
          </w:p>
        </w:tc>
        <w:tc>
          <w:tcPr>
            <w:tcW w:type="dxa" w:w="2000"/>
            <w:vAlign w:val="center"/>
          </w:tcPr>
          <w:p>
            <w:r>
              <w:rPr>
                <w:rFonts w:ascii="Calibri" w:cs="Calibri" w:eastAsia="Calibri" w:hAnsi="Calibri"/>
                <w:b w:val="false"/>
                <w:bCs w:val="false"/>
                <w:color w:val="000000"/>
                <w:sz w:val="18"/>
                <w:szCs w:val="18"/>
              </w:rPr>
              <w:t xml:space="preserve">0%</w:t>
            </w:r>
          </w:p>
        </w:tc>
      </w:tr>
      <w:tr>
        <w:tc>
          <w:tcPr>
            <w:tcW w:type="dxa" w:w="2600"/>
            <w:vAlign w:val="center"/>
          </w:tcPr>
          <w:p>
            <w:r>
              <w:rPr>
                <w:rFonts w:ascii="Calibri" w:cs="Calibri" w:eastAsia="Calibri" w:hAnsi="Calibri"/>
                <w:b w:val="false"/>
                <w:bCs w:val="false"/>
                <w:color w:val="000000"/>
                <w:sz w:val="18"/>
                <w:szCs w:val="18"/>
              </w:rPr>
              <w:t xml:space="preserve">irix Santubong</w:t>
            </w:r>
          </w:p>
        </w:tc>
        <w:tc>
          <w:tcPr>
            <w:tcW w:type="dxa" w:w="1400"/>
            <w:vAlign w:val="center"/>
          </w:tcPr>
          <w:p>
            <w:r>
              <w:rPr>
                <w:rFonts w:ascii="Calibri" w:cs="Calibri" w:eastAsia="Calibri" w:hAnsi="Calibri"/>
                <w:b w:val="false"/>
                <w:bCs w:val="false"/>
                <w:color w:val="000000"/>
                <w:sz w:val="18"/>
                <w:szCs w:val="18"/>
              </w:rPr>
              <w:t xml:space="preserve">1</w:t>
            </w:r>
          </w:p>
        </w:tc>
        <w:tc>
          <w:tcPr>
            <w:tcW w:type="dxa" w:w="1600"/>
            <w:vAlign w:val="center"/>
          </w:tcPr>
          <w:p>
            <w:r>
              <w:rPr>
                <w:rFonts w:ascii="Calibri" w:cs="Calibri" w:eastAsia="Calibri" w:hAnsi="Calibri"/>
                <w:b w:val="false"/>
                <w:bCs w:val="false"/>
                <w:color w:val="000000"/>
                <w:sz w:val="18"/>
                <w:szCs w:val="18"/>
              </w:rPr>
              <w:t xml:space="preserve">105.74</w:t>
            </w:r>
          </w:p>
        </w:tc>
        <w:tc>
          <w:tcPr>
            <w:tcW w:type="dxa" w:w="1600"/>
            <w:vAlign w:val="center"/>
          </w:tcPr>
          <w:p>
            <w:r>
              <w:rPr>
                <w:rFonts w:ascii="Calibri" w:cs="Calibri" w:eastAsia="Calibri" w:hAnsi="Calibri"/>
                <w:b w:val="false"/>
                <w:bCs w:val="false"/>
                <w:color w:val="000000"/>
                <w:sz w:val="18"/>
                <w:szCs w:val="18"/>
              </w:rPr>
              <w:t xml:space="preserve">14</w:t>
            </w:r>
          </w:p>
        </w:tc>
        <w:tc>
          <w:tcPr>
            <w:tcW w:type="dxa" w:w="2000"/>
            <w:vAlign w:val="center"/>
          </w:tcPr>
          <w:p>
            <w:r>
              <w:rPr>
                <w:rFonts w:ascii="Calibri" w:cs="Calibri" w:eastAsia="Calibri" w:hAnsi="Calibri"/>
                <w:b w:val="false"/>
                <w:bCs w:val="false"/>
                <w:color w:val="000000"/>
                <w:sz w:val="18"/>
                <w:szCs w:val="18"/>
              </w:rPr>
              <w:t xml:space="preserve">17%</w:t>
            </w:r>
          </w:p>
        </w:tc>
      </w:tr>
      <w:tr>
        <w:tc>
          <w:tcPr>
            <w:tcW w:type="dxa" w:w="2600"/>
            <w:vAlign w:val="center"/>
          </w:tcPr>
          <w:p>
            <w:r>
              <w:rPr>
                <w:rFonts w:ascii="Calibri" w:cs="Calibri" w:eastAsia="Calibri" w:hAnsi="Calibri"/>
                <w:b w:val="false"/>
                <w:bCs w:val="false"/>
                <w:color w:val="000000"/>
                <w:sz w:val="18"/>
                <w:szCs w:val="18"/>
              </w:rPr>
              <w:t xml:space="preserve">EdgeConneX KL CBD</w:t>
            </w:r>
          </w:p>
        </w:tc>
        <w:tc>
          <w:tcPr>
            <w:tcW w:type="dxa" w:w="1400"/>
            <w:vAlign w:val="center"/>
          </w:tcPr>
          <w:p>
            <w:r>
              <w:rPr>
                <w:rFonts w:ascii="Calibri" w:cs="Calibri" w:eastAsia="Calibri" w:hAnsi="Calibri"/>
                <w:b w:val="false"/>
                <w:bCs w:val="false"/>
                <w:color w:val="000000"/>
                <w:sz w:val="18"/>
                <w:szCs w:val="18"/>
              </w:rPr>
              <w:t xml:space="preserve">1</w:t>
            </w:r>
          </w:p>
        </w:tc>
        <w:tc>
          <w:tcPr>
            <w:tcW w:type="dxa" w:w="1600"/>
            <w:vAlign w:val="center"/>
          </w:tcPr>
          <w:p>
            <w:r>
              <w:rPr>
                <w:rFonts w:ascii="Calibri" w:cs="Calibri" w:eastAsia="Calibri" w:hAnsi="Calibri"/>
                <w:b w:val="false"/>
                <w:bCs w:val="false"/>
                <w:color w:val="000000"/>
                <w:sz w:val="18"/>
                <w:szCs w:val="18"/>
              </w:rPr>
              <w:t xml:space="preserve">105.54</w:t>
            </w:r>
          </w:p>
        </w:tc>
        <w:tc>
          <w:tcPr>
            <w:tcW w:type="dxa" w:w="1600"/>
            <w:vAlign w:val="center"/>
          </w:tcPr>
          <w:p>
            <w:r>
              <w:rPr>
                <w:rFonts w:ascii="Calibri" w:cs="Calibri" w:eastAsia="Calibri" w:hAnsi="Calibri"/>
                <w:b w:val="false"/>
                <w:bCs w:val="false"/>
                <w:color w:val="000000"/>
                <w:sz w:val="18"/>
                <w:szCs w:val="18"/>
              </w:rPr>
              <w:t xml:space="preserve">9.0</w:t>
            </w:r>
          </w:p>
        </w:tc>
        <w:tc>
          <w:tcPr>
            <w:tcW w:type="dxa" w:w="2000"/>
            <w:vAlign w:val="center"/>
          </w:tcPr>
          <w:p>
            <w:r>
              <w:rPr>
                <w:rFonts w:ascii="Calibri" w:cs="Calibri" w:eastAsia="Calibri" w:hAnsi="Calibri"/>
                <w:b w:val="false"/>
                <w:bCs w:val="false"/>
                <w:color w:val="000000"/>
                <w:sz w:val="18"/>
                <w:szCs w:val="18"/>
              </w:rPr>
              <w:t xml:space="preserve">29%</w:t>
            </w:r>
          </w:p>
        </w:tc>
      </w:tr>
      <w:tr>
        <w:tc>
          <w:tcPr>
            <w:tcW w:type="dxa" w:w="2600"/>
            <w:vAlign w:val="center"/>
          </w:tcPr>
          <w:p>
            <w:r>
              <w:rPr>
                <w:rFonts w:ascii="Calibri" w:cs="Calibri" w:eastAsia="Calibri" w:hAnsi="Calibri"/>
                <w:b w:val="false"/>
                <w:bCs w:val="false"/>
                <w:color w:val="000000"/>
                <w:sz w:val="18"/>
                <w:szCs w:val="18"/>
              </w:rPr>
              <w:t xml:space="preserve">Google Elmina Business Park</w:t>
            </w:r>
          </w:p>
        </w:tc>
        <w:tc>
          <w:tcPr>
            <w:tcW w:type="dxa" w:w="1400"/>
            <w:vAlign w:val="center"/>
          </w:tcPr>
          <w:p>
            <w:r>
              <w:rPr>
                <w:rFonts w:ascii="Calibri" w:cs="Calibri" w:eastAsia="Calibri" w:hAnsi="Calibri"/>
                <w:b w:val="false"/>
                <w:bCs w:val="false"/>
                <w:color w:val="000000"/>
                <w:sz w:val="18"/>
                <w:szCs w:val="18"/>
              </w:rPr>
              <w:t xml:space="preserve">1</w:t>
            </w:r>
          </w:p>
        </w:tc>
        <w:tc>
          <w:tcPr>
            <w:tcW w:type="dxa" w:w="1600"/>
            <w:vAlign w:val="center"/>
          </w:tcPr>
          <w:p>
            <w:r>
              <w:rPr>
                <w:rFonts w:ascii="Calibri" w:cs="Calibri" w:eastAsia="Calibri" w:hAnsi="Calibri"/>
                <w:b w:val="false"/>
                <w:bCs w:val="false"/>
                <w:color w:val="000000"/>
                <w:sz w:val="18"/>
                <w:szCs w:val="18"/>
              </w:rPr>
              <w:t xml:space="preserve">105.51</w:t>
            </w:r>
          </w:p>
        </w:tc>
        <w:tc>
          <w:tcPr>
            <w:tcW w:type="dxa" w:w="1600"/>
            <w:vAlign w:val="center"/>
          </w:tcPr>
          <w:p>
            <w:r>
              <w:rPr>
                <w:rFonts w:ascii="Calibri" w:cs="Calibri" w:eastAsia="Calibri" w:hAnsi="Calibri"/>
                <w:b w:val="false"/>
                <w:bCs w:val="false"/>
                <w:color w:val="000000"/>
                <w:sz w:val="18"/>
                <w:szCs w:val="18"/>
              </w:rPr>
              <w:t xml:space="preserve">110</w:t>
            </w:r>
          </w:p>
        </w:tc>
        <w:tc>
          <w:tcPr>
            <w:tcW w:type="dxa" w:w="2000"/>
            <w:vAlign w:val="center"/>
          </w:tcPr>
          <w:p>
            <w:r>
              <w:rPr>
                <w:rFonts w:ascii="Calibri" w:cs="Calibri" w:eastAsia="Calibri" w:hAnsi="Calibri"/>
                <w:b w:val="false"/>
                <w:bCs w:val="false"/>
                <w:color w:val="000000"/>
                <w:sz w:val="18"/>
                <w:szCs w:val="18"/>
              </w:rPr>
              <w:t xml:space="preserve">100%</w:t>
            </w:r>
          </w:p>
        </w:tc>
      </w:tr>
      <w:tr>
        <w:tc>
          <w:tcPr>
            <w:tcW w:type="dxa" w:w="2600"/>
            <w:vAlign w:val="center"/>
          </w:tcPr>
          <w:p>
            <w:r>
              <w:rPr>
                <w:rFonts w:ascii="Calibri" w:cs="Calibri" w:eastAsia="Calibri" w:hAnsi="Calibri"/>
                <w:b w:val="false"/>
                <w:bCs w:val="false"/>
                <w:color w:val="000000"/>
                <w:sz w:val="18"/>
                <w:szCs w:val="18"/>
              </w:rPr>
              <w:t xml:space="preserve">Mah Sing DC Hub Southville</w:t>
            </w:r>
          </w:p>
        </w:tc>
        <w:tc>
          <w:tcPr>
            <w:tcW w:type="dxa" w:w="1400"/>
            <w:vAlign w:val="center"/>
          </w:tcPr>
          <w:p>
            <w:r>
              <w:rPr>
                <w:rFonts w:ascii="Calibri" w:cs="Calibri" w:eastAsia="Calibri" w:hAnsi="Calibri"/>
                <w:b w:val="false"/>
                <w:bCs w:val="false"/>
                <w:color w:val="000000"/>
                <w:sz w:val="18"/>
                <w:szCs w:val="18"/>
              </w:rPr>
              <w:t xml:space="preserve">1</w:t>
            </w:r>
          </w:p>
        </w:tc>
        <w:tc>
          <w:tcPr>
            <w:tcW w:type="dxa" w:w="1600"/>
            <w:vAlign w:val="center"/>
          </w:tcPr>
          <w:p>
            <w:r>
              <w:rPr>
                <w:rFonts w:ascii="Calibri" w:cs="Calibri" w:eastAsia="Calibri" w:hAnsi="Calibri"/>
                <w:b w:val="false"/>
                <w:bCs w:val="false"/>
                <w:color w:val="000000"/>
                <w:sz w:val="18"/>
                <w:szCs w:val="18"/>
              </w:rPr>
              <w:t xml:space="preserve">105.57</w:t>
            </w:r>
          </w:p>
        </w:tc>
        <w:tc>
          <w:tcPr>
            <w:tcW w:type="dxa" w:w="1600"/>
            <w:vAlign w:val="center"/>
          </w:tcPr>
          <w:p>
            <w:r>
              <w:rPr>
                <w:rFonts w:ascii="Calibri" w:cs="Calibri" w:eastAsia="Calibri" w:hAnsi="Calibri"/>
                <w:b w:val="false"/>
                <w:bCs w:val="false"/>
                <w:color w:val="000000"/>
                <w:sz w:val="18"/>
                <w:szCs w:val="18"/>
              </w:rPr>
              <w:t xml:space="preserve">55</w:t>
            </w:r>
          </w:p>
        </w:tc>
        <w:tc>
          <w:tcPr>
            <w:tcW w:type="dxa" w:w="2000"/>
            <w:vAlign w:val="center"/>
          </w:tcPr>
          <w:p>
            <w:r>
              <w:rPr>
                <w:rFonts w:ascii="Calibri" w:cs="Calibri" w:eastAsia="Calibri" w:hAnsi="Calibri"/>
                <w:b w:val="false"/>
                <w:bCs w:val="false"/>
                <w:color w:val="000000"/>
                <w:sz w:val="18"/>
                <w:szCs w:val="18"/>
              </w:rPr>
              <w:t xml:space="preserve">67%</w:t>
            </w:r>
          </w:p>
        </w:tc>
      </w:tr>
      <w:tr>
        <w:tc>
          <w:tcPr>
            <w:tcW w:type="dxa" w:w="2600"/>
            <w:vAlign w:val="center"/>
          </w:tcPr>
          <w:p>
            <w:r>
              <w:rPr>
                <w:rFonts w:ascii="Calibri" w:cs="Calibri" w:eastAsia="Calibri" w:hAnsi="Calibri"/>
                <w:b w:val="false"/>
                <w:bCs w:val="false"/>
                <w:color w:val="000000"/>
                <w:sz w:val="18"/>
                <w:szCs w:val="18"/>
              </w:rPr>
              <w:t xml:space="preserve">DayOne Kempas Tech Park</w:t>
            </w:r>
          </w:p>
        </w:tc>
        <w:tc>
          <w:tcPr>
            <w:tcW w:type="dxa" w:w="1400"/>
            <w:vAlign w:val="center"/>
          </w:tcPr>
          <w:p>
            <w:r>
              <w:rPr>
                <w:rFonts w:ascii="Calibri" w:cs="Calibri" w:eastAsia="Calibri" w:hAnsi="Calibri"/>
                <w:b w:val="false"/>
                <w:bCs w:val="false"/>
                <w:color w:val="000000"/>
                <w:sz w:val="18"/>
                <w:szCs w:val="18"/>
              </w:rPr>
              <w:t xml:space="preserve">1</w:t>
            </w:r>
          </w:p>
        </w:tc>
        <w:tc>
          <w:tcPr>
            <w:tcW w:type="dxa" w:w="1600"/>
            <w:vAlign w:val="center"/>
          </w:tcPr>
          <w:p>
            <w:r>
              <w:rPr>
                <w:rFonts w:ascii="Calibri" w:cs="Calibri" w:eastAsia="Calibri" w:hAnsi="Calibri"/>
                <w:b w:val="false"/>
                <w:bCs w:val="false"/>
                <w:color w:val="000000"/>
                <w:sz w:val="18"/>
                <w:szCs w:val="18"/>
              </w:rPr>
              <w:t xml:space="preserve">105.76</w:t>
            </w:r>
          </w:p>
        </w:tc>
        <w:tc>
          <w:tcPr>
            <w:tcW w:type="dxa" w:w="1600"/>
            <w:vAlign w:val="center"/>
          </w:tcPr>
          <w:p>
            <w:r>
              <w:rPr>
                <w:rFonts w:ascii="Calibri" w:cs="Calibri" w:eastAsia="Calibri" w:hAnsi="Calibri"/>
                <w:b w:val="false"/>
                <w:bCs w:val="false"/>
                <w:color w:val="000000"/>
                <w:sz w:val="18"/>
                <w:szCs w:val="18"/>
              </w:rPr>
              <w:t xml:space="preserve">6.0</w:t>
            </w:r>
          </w:p>
        </w:tc>
        <w:tc>
          <w:tcPr>
            <w:tcW w:type="dxa" w:w="2000"/>
            <w:vAlign w:val="center"/>
          </w:tcPr>
          <w:p>
            <w:r>
              <w:rPr>
                <w:rFonts w:ascii="Calibri" w:cs="Calibri" w:eastAsia="Calibri" w:hAnsi="Calibri"/>
                <w:b w:val="false"/>
                <w:bCs w:val="false"/>
                <w:color w:val="000000"/>
                <w:sz w:val="18"/>
                <w:szCs w:val="18"/>
              </w:rPr>
              <w:t xml:space="preserve">61%</w:t>
            </w:r>
          </w:p>
        </w:tc>
      </w:tr>
    </w:tbl>
    <w:p>
      <w:pPr>
        <w:spacing w:after="160"/>
        <w:jc w:val="left"/>
      </w:pPr>
      <w:r>
        <w:rPr>
          <w:rFonts w:ascii="Calibri" w:cs="Calibri" w:eastAsia="Calibri" w:hAnsi="Calibri"/>
          <w:b w:val="false"/>
          <w:bCs w:val="false"/>
          <w:i w:val="false"/>
          <w:iCs w:val="false"/>
          <w:sz w:val="22"/>
          <w:szCs w:val="22"/>
        </w:rPr>
        <w:t xml:space="preserve">Aggregated across the 16 valid corridors, combined area of interest is 8,905.8 ha and combined measured tree cover loss is approximately 1,537.5 ha, an area-weighted 17.3% of the combined 2000 canopy baseline. This remains a corridor-level, not facility-level, figure, and carries the same caveats as the pilot (Section 7.4): several corridors sit on former oil palm estate, and drawn areas of interest include non-facility land within the same development corridor. Newer, purpose-built campuses on previously forested or plantation land show near-total canopy loss within their drawn area of interest (Google Elmina, 100%; YTL Kulai, 97%; Nilai/Labu, 96%), while corridors sited within or adjacent to already-developed urban cores show comparatively low loss (KL Bangsar/Damansara, 11%; VADS Cyberport, 14%; Penang, 15%), consistent with siting on land already cleared before the observation window began.</w:t>
      </w:r>
    </w:p>
    <w:p>
      <w:pPr>
        <w:pStyle w:val="Heading2"/>
        <w:spacing w:after="120" w:before="240"/>
      </w:pPr>
      <w:r>
        <w:t xml:space="preserve">7.6 Recommended further refinement</w:t>
      </w:r>
    </w:p>
    <w:p>
      <w:pPr>
        <w:pStyle w:val="ListParagraph"/>
        <w:numPr>
          <w:ilvl w:val="0"/>
          <w:numId w:val="2"/>
        </w:numPr>
        <w:spacing w:after="80"/>
      </w:pPr>
      <w:r>
        <w:rPr>
          <w:rFonts w:ascii="Calibri" w:cs="Calibri" w:eastAsia="Calibri" w:hAnsi="Calibri"/>
          <w:b w:val="false"/>
          <w:bCs w:val="false"/>
          <w:sz w:val="22"/>
          <w:szCs w:val="22"/>
        </w:rPr>
        <w:t xml:space="preserve">Acquire per-facility parcel boundaries, or apply a fixed buffer radius standard (e.g. 500 m), in place of the corridor-level bounding boxes used for this rollout, for a facility- rather than corridor-level estimate.</w:t>
      </w:r>
    </w:p>
    <w:p>
      <w:pPr>
        <w:pStyle w:val="ListParagraph"/>
        <w:numPr>
          <w:ilvl w:val="0"/>
          <w:numId w:val="2"/>
        </w:numPr>
        <w:spacing w:after="80"/>
      </w:pPr>
      <w:r>
        <w:rPr>
          <w:rFonts w:ascii="Calibri" w:cs="Calibri" w:eastAsia="Calibri" w:hAnsi="Calibri"/>
          <w:b w:val="false"/>
          <w:bCs w:val="false"/>
          <w:sz w:val="22"/>
          <w:szCs w:val="22"/>
        </w:rPr>
        <w:t xml:space="preserve">Layer in the Descals et al. annual oil palm plantation maps (2001–2016) to separate plantation-cycle loss from genuine forest conversion.</w:t>
      </w:r>
    </w:p>
    <w:p>
      <w:pPr>
        <w:pStyle w:val="ListParagraph"/>
        <w:numPr>
          <w:ilvl w:val="0"/>
          <w:numId w:val="2"/>
        </w:numPr>
        <w:spacing w:after="80"/>
      </w:pPr>
      <w:r>
        <w:rPr>
          <w:rFonts w:ascii="Calibri" w:cs="Calibri" w:eastAsia="Calibri" w:hAnsi="Calibri"/>
          <w:b w:val="false"/>
          <w:bCs w:val="false"/>
          <w:sz w:val="22"/>
          <w:szCs w:val="22"/>
        </w:rPr>
        <w:t xml:space="preserve">Time-window the loss statistic to each facility's approximate construction start date, drawn from Hansard or permit records where available, to better isolate development-attributable clearance.</w:t>
      </w:r>
    </w:p>
    <w:p>
      <w:pPr>
        <w:pStyle w:val="ListParagraph"/>
        <w:numPr>
          <w:ilvl w:val="0"/>
          <w:numId w:val="2"/>
        </w:numPr>
        <w:spacing w:after="80"/>
      </w:pPr>
      <w:r>
        <w:rPr>
          <w:rFonts w:ascii="Calibri" w:cs="Calibri" w:eastAsia="Calibri" w:hAnsi="Calibri"/>
          <w:b w:val="false"/>
          <w:bCs w:val="false"/>
          <w:sz w:val="22"/>
          <w:szCs w:val="22"/>
        </w:rPr>
        <w:t xml:space="preserve">Re-geocode STT Johor 1 / Empyrion Digital MY1 to its correct physical location and re-run its corridor analysis.</w:t>
      </w:r>
    </w:p>
    <w:p>
      <w:pPr>
        <w:pStyle w:val="Heading1"/>
        <w:spacing w:after="160" w:before="320"/>
      </w:pPr>
      <w:r>
        <w:t xml:space="preserve">8. Availability and Reproducibility</w:t>
      </w:r>
    </w:p>
    <w:p>
      <w:pPr>
        <w:spacing w:after="160"/>
        <w:jc w:val="left"/>
      </w:pPr>
      <w:r>
        <w:rPr>
          <w:rFonts w:ascii="Calibri" w:cs="Calibri" w:eastAsia="Calibri" w:hAnsi="Calibri"/>
          <w:b w:val="false"/>
          <w:bCs w:val="false"/>
          <w:i w:val="false"/>
          <w:iCs w:val="false"/>
          <w:sz w:val="22"/>
          <w:szCs w:val="22"/>
        </w:rPr>
        <w:t xml:space="preserve">The satellite CV, deduplication, and resource-estimation pipeline code is released as a standalone open-source repository, separate from the underlying data corpus (satellite imagery, facility coordinate list, and policy/Hansard document collection), which is maintained separately by the project team. The repository includes a README describing each script's role and the same known-limitations summary given in Section 9 below. The Hansard triage and regulatory corpus review in Section 6 are documented as structured working notes alongside the source Hansard PDF collection already held by the project team; these notes, rather than the full source PDFs, are what would be published for open-data compliance purposes, per the project's scoping decision to publish the pipeline and derived indexing notes but not the underlying data corpus itself.</w:t>
      </w:r>
    </w:p>
    <w:p>
      <w:pPr>
        <w:pStyle w:val="Heading1"/>
        <w:spacing w:after="160" w:before="320"/>
      </w:pPr>
      <w:r>
        <w:t xml:space="preserve">9. Known Limitations</w:t>
      </w:r>
    </w:p>
    <w:p>
      <w:pPr>
        <w:pStyle w:val="ListParagraph"/>
        <w:numPr>
          <w:ilvl w:val="0"/>
          <w:numId w:val="2"/>
        </w:numPr>
        <w:spacing w:after="80"/>
      </w:pPr>
      <w:r>
        <w:rPr>
          <w:rFonts w:ascii="Calibri" w:cs="Calibri" w:eastAsia="Calibri" w:hAnsi="Calibri"/>
          <w:b w:val="false"/>
          <w:bCs w:val="false"/>
          <w:sz w:val="22"/>
          <w:szCs w:val="22"/>
        </w:rPr>
        <w:t xml:space="preserve">Geocoding fallback failures (Section 2.2) may still be present in facilities not flagged by the duplicate-coordinate heuristic used to detect them: a single mis-geocoded facility with no duplicate would not be caught by this method.</w:t>
      </w:r>
    </w:p>
    <w:p>
      <w:pPr>
        <w:pStyle w:val="ListParagraph"/>
        <w:numPr>
          <w:ilvl w:val="0"/>
          <w:numId w:val="2"/>
        </w:numPr>
        <w:spacing w:after="80"/>
      </w:pPr>
      <w:r>
        <w:rPr>
          <w:rFonts w:ascii="Calibri" w:cs="Calibri" w:eastAsia="Calibri" w:hAnsi="Calibri"/>
          <w:b w:val="false"/>
          <w:bCs w:val="false"/>
          <w:sz w:val="22"/>
          <w:szCs w:val="22"/>
        </w:rPr>
        <w:t xml:space="preserve">CV detection confidence scoring is a heuristic, not a calibrated probability; the FAR_FROM_CENTER / LOW_COMPACTNESS flags indicate elevated uncertainty but do not guarantee correctness of accepted detections, nor guarantee an undetected building is genuinely absent.</w:t>
      </w:r>
    </w:p>
    <w:p>
      <w:pPr>
        <w:pStyle w:val="ListParagraph"/>
        <w:numPr>
          <w:ilvl w:val="0"/>
          <w:numId w:val="2"/>
        </w:numPr>
        <w:spacing w:after="80"/>
      </w:pPr>
      <w:r>
        <w:rPr>
          <w:rFonts w:ascii="Calibri" w:cs="Calibri" w:eastAsia="Calibri" w:hAnsi="Calibri"/>
          <w:b w:val="false"/>
          <w:bCs w:val="false"/>
          <w:sz w:val="22"/>
          <w:szCs w:val="22"/>
        </w:rPr>
        <w:t xml:space="preserve">The fixed pixel-to-area conversion factor assumes a constant capture zoom level and does not correct for building height, multi-story footprint, or partial occlusion by surrounding structures.</w:t>
      </w:r>
    </w:p>
    <w:p>
      <w:pPr>
        <w:pStyle w:val="ListParagraph"/>
        <w:numPr>
          <w:ilvl w:val="0"/>
          <w:numId w:val="2"/>
        </w:numPr>
        <w:spacing w:after="80"/>
      </w:pPr>
      <w:r>
        <w:rPr>
          <w:rFonts w:ascii="Calibri" w:cs="Calibri" w:eastAsia="Calibri" w:hAnsi="Calibri"/>
          <w:b w:val="false"/>
          <w:bCs w:val="false"/>
          <w:sz w:val="22"/>
          <w:szCs w:val="22"/>
        </w:rPr>
        <w:t xml:space="preserve">No single power-density coefficient is defensible across this facility portfolio (Section 5.2); all modelled (non-disclosed) figures should be treated as order-of-magnitude estimates, not precise measurements, and reported separately from disclosed-capacity figures.</w:t>
      </w:r>
    </w:p>
    <w:p>
      <w:pPr>
        <w:pStyle w:val="ListParagraph"/>
        <w:numPr>
          <w:ilvl w:val="0"/>
          <w:numId w:val="2"/>
        </w:numPr>
        <w:spacing w:after="80"/>
      </w:pPr>
      <w:r>
        <w:rPr>
          <w:rFonts w:ascii="Calibri" w:cs="Calibri" w:eastAsia="Calibri" w:hAnsi="Calibri"/>
          <w:b w:val="false"/>
          <w:bCs w:val="false"/>
          <w:sz w:val="22"/>
          <w:szCs w:val="22"/>
        </w:rPr>
        <w:t xml:space="preserve">The grid emission factor and WUE values used are fixed national/regional averages, not facility-specific measured values, since facility-specific energy/water disclosure is precisely the transparency gap this project documents.</w:t>
      </w:r>
    </w:p>
    <w:p>
      <w:pPr>
        <w:pStyle w:val="ListParagraph"/>
        <w:numPr>
          <w:ilvl w:val="0"/>
          <w:numId w:val="2"/>
        </w:numPr>
        <w:spacing w:after="80"/>
      </w:pPr>
      <w:r>
        <w:rPr>
          <w:rFonts w:ascii="Calibri" w:cs="Calibri" w:eastAsia="Calibri" w:hAnsi="Calibri"/>
          <w:b w:val="false"/>
          <w:bCs w:val="false"/>
          <w:sz w:val="22"/>
          <w:szCs w:val="22"/>
        </w:rPr>
        <w:t xml:space="preserve">Three AWS facilities included in the original facility list have no confirmed public satellite footprint and are excluded from all totals in this dataset, rather than estimated. The true resource footprint of the sector is understated to that extent.</w:t>
      </w:r>
    </w:p>
    <w:p>
      <w:pPr>
        <w:pStyle w:val="ListParagraph"/>
        <w:numPr>
          <w:ilvl w:val="0"/>
          <w:numId w:val="2"/>
        </w:numPr>
        <w:spacing w:after="80"/>
      </w:pPr>
      <w:r>
        <w:rPr>
          <w:rFonts w:ascii="Calibri" w:cs="Calibri" w:eastAsia="Calibri" w:hAnsi="Calibri"/>
          <w:b w:val="false"/>
          <w:bCs w:val="false"/>
          <w:sz w:val="22"/>
          <w:szCs w:val="22"/>
        </w:rPr>
        <w:t xml:space="preserve">The Hansard triage (Section 6.3) covers only files matching the “pusat data” / “data centre” keyword search; discussion using other terminology, or occurring in committee records not held in the local corpus, would not be captured.</w:t>
      </w:r>
    </w:p>
    <w:p>
      <w:pPr>
        <w:pStyle w:val="ListParagraph"/>
        <w:numPr>
          <w:ilvl w:val="0"/>
          <w:numId w:val="2"/>
        </w:numPr>
        <w:spacing w:after="80"/>
      </w:pPr>
      <w:r>
        <w:rPr>
          <w:rFonts w:ascii="Calibri" w:cs="Calibri" w:eastAsia="Calibri" w:hAnsi="Calibri"/>
          <w:b w:val="false"/>
          <w:bCs w:val="false"/>
          <w:sz w:val="22"/>
          <w:szCs w:val="22"/>
        </w:rPr>
        <w:t xml:space="preserve">The land-cover change pilot (Section 7) is an unscreened upper bound, not a validated estimate of development-attributable deforestation; see Section 7.4.</w:t>
      </w:r>
    </w:p>
    <w:p>
      <w:pPr>
        <w:pStyle w:val="Heading1"/>
        <w:spacing w:after="160" w:before="320"/>
      </w:pPr>
      <w:r>
        <w:t xml:space="preserve">10. Deliverable Status and Sequencing</w:t>
      </w:r>
    </w:p>
    <w:p>
      <w:pPr>
        <w:spacing w:after="160"/>
        <w:jc w:val="left"/>
      </w:pPr>
      <w:r>
        <w:rPr>
          <w:rFonts w:ascii="Calibri" w:cs="Calibri" w:eastAsia="Calibri" w:hAnsi="Calibri"/>
          <w:b w:val="false"/>
          <w:bCs w:val="false"/>
          <w:i w:val="false"/>
          <w:iCs w:val="false"/>
          <w:sz w:val="22"/>
          <w:szCs w:val="22"/>
        </w:rPr>
        <w:t xml:space="preserve">This section tracks the status of the subgrant's named public-facing outputs (Attachment A, Activities 1-3), separate from the technical dataset and methodology described above, for transparency ahead of the Preliminary Results Report and Final Report milestones.</w:t>
      </w:r>
    </w:p>
    <w:p>
      <w:pPr>
        <w:pStyle w:val="ListParagraph"/>
        <w:numPr>
          <w:ilvl w:val="0"/>
          <w:numId w:val="2"/>
        </w:numPr>
        <w:spacing w:after="80"/>
      </w:pPr>
      <w:r>
        <w:rPr>
          <w:rFonts w:ascii="Calibri" w:cs="Calibri" w:eastAsia="Calibri" w:hAnsi="Calibri"/>
          <w:b w:val="false"/>
          <w:bCs w:val="false"/>
          <w:sz w:val="22"/>
          <w:szCs w:val="22"/>
        </w:rPr>
        <w:t xml:space="preserve">Output 1 (open-source CV repository and geospatial dataset): pipeline code and the 71-building master database are complete and packaged for release; public GitHub publication is a final step pending author sign-off, not a content gap.</w:t>
      </w:r>
    </w:p>
    <w:p>
      <w:pPr>
        <w:pStyle w:val="ListParagraph"/>
        <w:numPr>
          <w:ilvl w:val="0"/>
          <w:numId w:val="2"/>
        </w:numPr>
        <w:spacing w:after="80"/>
      </w:pPr>
      <w:r>
        <w:rPr>
          <w:rFonts w:ascii="Calibri" w:cs="Calibri" w:eastAsia="Calibri" w:hAnsi="Calibri"/>
          <w:b w:val="false"/>
          <w:bCs w:val="false"/>
          <w:sz w:val="22"/>
          <w:szCs w:val="22"/>
        </w:rPr>
        <w:t xml:space="preserve">Output 2 (policy audit report): the underlying regulatory analysis is complete (Section 6 above, and the companion Indonesia comparative desk review) and has been extracted into a standalone Policy Audit Report document, separate from this technical methodology, for direct submission.</w:t>
      </w:r>
    </w:p>
    <w:p>
      <w:pPr>
        <w:pStyle w:val="ListParagraph"/>
        <w:numPr>
          <w:ilvl w:val="0"/>
          <w:numId w:val="2"/>
        </w:numPr>
        <w:spacing w:after="80"/>
      </w:pPr>
      <w:r>
        <w:rPr>
          <w:rFonts w:ascii="Calibri" w:cs="Calibri" w:eastAsia="Calibri" w:hAnsi="Calibri"/>
          <w:b w:val="false"/>
          <w:bCs w:val="false"/>
          <w:sz w:val="22"/>
          <w:szCs w:val="22"/>
        </w:rPr>
        <w:t xml:space="preserve">Output 3 (visual evidence library of satellite overlays): scaffolding is complete, all 71 deduplicated buildings have been matched to a bounding-box image and an initial static-site manifest and image set have been prepared. Full site build has been deliberately paused, and is sequenced to resume after the Output 4 public policy report and briefs, since both draw on the same facility-level visual material and are more efficiently finished together than interleaved.</w:t>
      </w:r>
    </w:p>
    <w:p>
      <w:pPr>
        <w:pStyle w:val="ListParagraph"/>
        <w:numPr>
          <w:ilvl w:val="0"/>
          <w:numId w:val="2"/>
        </w:numPr>
        <w:spacing w:after="80"/>
      </w:pPr>
      <w:r>
        <w:rPr>
          <w:rFonts w:ascii="Calibri" w:cs="Calibri" w:eastAsia="Calibri" w:hAnsi="Calibri"/>
          <w:b w:val="false"/>
          <w:bCs w:val="false"/>
          <w:sz w:val="22"/>
          <w:szCs w:val="22"/>
        </w:rPr>
        <w:t xml:space="preserve">Output 4 (comprehensive public-facing "Resource Security" policy report, including policy briefs): complete. The public report and two accompanying policy briefs (one regulator-facing, on closing the cumulative-impact blind spot; one journalist/civil-society-facing, a practical guide to the open dataset) are all delivered as standalone documents, separate from the technical and academic outputs.</w:t>
      </w:r>
    </w:p>
    <w:p>
      <w:pPr>
        <w:pStyle w:val="ListParagraph"/>
        <w:numPr>
          <w:ilvl w:val="0"/>
          <w:numId w:val="2"/>
        </w:numPr>
        <w:spacing w:after="80"/>
      </w:pPr>
      <w:r>
        <w:rPr>
          <w:rFonts w:ascii="Calibri" w:cs="Calibri" w:eastAsia="Calibri" w:hAnsi="Calibri"/>
          <w:b w:val="false"/>
          <w:bCs w:val="false"/>
          <w:sz w:val="22"/>
          <w:szCs w:val="22"/>
        </w:rPr>
        <w:t xml:space="preserve">Output 5 (draft open-access journal article, comparative Global South framing): complete. The companion economic valuation paper includes a dedicated section situating both empirical findings within the digital colonialism literature on Global South data infrastructure, incorporating the Indonesia comparison.</w:t>
      </w:r>
    </w:p>
    <w:p>
      <w:pPr>
        <w:pStyle w:val="ListParagraph"/>
        <w:numPr>
          <w:ilvl w:val="0"/>
          <w:numId w:val="2"/>
        </w:numPr>
        <w:spacing w:after="80"/>
      </w:pPr>
      <w:r>
        <w:rPr>
          <w:rFonts w:ascii="Calibri" w:cs="Calibri" w:eastAsia="Calibri" w:hAnsi="Calibri"/>
          <w:b w:val="false"/>
          <w:bCs w:val="false"/>
          <w:sz w:val="22"/>
          <w:szCs w:val="22"/>
        </w:rPr>
        <w:t xml:space="preserve">Output 6 (GSA Virtual Seminar presentation materials): not yet started; not due until the 14 October 2026 milestone.</w:t>
      </w:r>
    </w:p>
    <w:p>
      <w:pPr>
        <w:pStyle w:val="Heading1"/>
        <w:spacing w:after="160" w:before="320"/>
      </w:pPr>
      <w:r>
        <w:t xml:space="preserve">11. Recommended Future Work: Unindexed Facility Discovery</w:t>
      </w:r>
    </w:p>
    <w:p>
      <w:pPr>
        <w:pStyle w:val="Heading2"/>
        <w:spacing w:after="120" w:before="240"/>
      </w:pPr>
      <w:r>
        <w:t xml:space="preserve">11.1 The gap this addresses</w:t>
      </w:r>
    </w:p>
    <w:p>
      <w:pPr>
        <w:spacing w:after="160"/>
        <w:jc w:val="left"/>
      </w:pPr>
      <w:r>
        <w:rPr>
          <w:rFonts w:ascii="Calibri" w:cs="Calibri" w:eastAsia="Calibri" w:hAnsi="Calibri"/>
          <w:b w:val="false"/>
          <w:bCs w:val="false"/>
          <w:i w:val="false"/>
          <w:iCs w:val="false"/>
          <w:sz w:val="22"/>
          <w:szCs w:val="22"/>
        </w:rPr>
        <w:t xml:space="preserve">Every facility in this project's 71-building dataset entered the pipeline because it first appeared on a candidate list compiled from operator disclosures, press releases, or industry trackers (Section 2). This means the entire pipeline, however rigorous downstream, inherits a hard dependency: a data centre whose operator never publicly announced it is invisible to this method by construction, not merely under-measured. The 5 “ghost facility” candidates that could not be geocoded (Section 2, Taxonomy table) are a visible symptom of this dependency; the true scope of the problem is whatever share of Malaysia's data centre sector was never announced at all, which by definition this project cannot currently estimate.</w:t>
      </w:r>
    </w:p>
    <w:p>
      <w:pPr>
        <w:spacing w:after="160"/>
        <w:jc w:val="left"/>
      </w:pPr>
      <w:r>
        <w:rPr>
          <w:rFonts w:ascii="Calibri" w:cs="Calibri" w:eastAsia="Calibri" w:hAnsi="Calibri"/>
          <w:b w:val="false"/>
          <w:bCs w:val="false"/>
          <w:i w:val="false"/>
          <w:iCs w:val="false"/>
          <w:sz w:val="22"/>
          <w:szCs w:val="22"/>
        </w:rPr>
        <w:t xml:space="preserve">A concrete instance of a related but distinct gap surfaced during this project's review process: a third-party architecture firm's project-completion announcement (a social media post, not an operator disclosure) corroborated a facility (Open DC - D8-1, Kedah) that was already present in this dataset via its own operator's announcements, but illustrated that contractors, architects, and other project-adjacent parties routinely disclose a facility's existence and rough physical characteristics independently of the operator. This suggests a route to a fundamentally different kind of detector: one that does not require a prior candidate coordinate at all.</w:t>
      </w:r>
    </w:p>
    <w:p>
      <w:pPr>
        <w:pStyle w:val="Heading2"/>
        <w:spacing w:after="120" w:before="240"/>
      </w:pPr>
      <w:r>
        <w:t xml:space="preserve">11.2 Proposed approach</w:t>
      </w:r>
    </w:p>
    <w:p>
      <w:pPr>
        <w:spacing w:after="160"/>
        <w:jc w:val="left"/>
      </w:pPr>
      <w:r>
        <w:rPr>
          <w:rFonts w:ascii="Calibri" w:cs="Calibri" w:eastAsia="Calibri" w:hAnsi="Calibri"/>
          <w:b w:val="false"/>
          <w:bCs w:val="false"/>
          <w:i w:val="false"/>
          <w:iCs w:val="false"/>
          <w:sz w:val="22"/>
          <w:szCs w:val="22"/>
        </w:rPr>
        <w:t xml:space="preserve">Rather than measuring a footprint at a known, pre-identified coordinate (this project's current method), a wide-area classifier would scan broad satellite imagery tiles across known industrial parks, technology corridors, and Special Economic Zones, and flag structures matching a data centre's visual signature: large flat-roof footprint, adjacent chiller/generator yard, perimeter security fencing, and typically a dedicated substation or high-capacity grid connection point visible as an adjacent structure. This converts facility discovery from a coordinate-lookup problem into an object-detection/classification problem over an area, which would surface facilities regardless of whether their operator ever issued a press release.</w:t>
      </w:r>
    </w:p>
    <w:p>
      <w:pPr>
        <w:pStyle w:val="Heading2"/>
        <w:spacing w:after="120" w:before="240"/>
      </w:pPr>
      <w:r>
        <w:t xml:space="preserve">11.3 Technical prerequisites</w:t>
      </w:r>
    </w:p>
    <w:p>
      <w:pPr>
        <w:pStyle w:val="ListParagraph"/>
        <w:numPr>
          <w:ilvl w:val="0"/>
          <w:numId w:val="2"/>
        </w:numPr>
        <w:spacing w:after="80"/>
      </w:pPr>
      <w:r>
        <w:rPr>
          <w:rFonts w:ascii="Calibri" w:cs="Calibri" w:eastAsia="Calibri" w:hAnsi="Calibri"/>
          <w:b w:val="false"/>
          <w:bCs w:val="false"/>
          <w:sz w:val="22"/>
          <w:szCs w:val="22"/>
        </w:rPr>
        <w:t xml:space="preserve">A labelled positive-training set of confirmed data centre exteriors, pairing satellite imagery with ground-level or aerial photography (of the kind found in architecture/construction firm portfolios, contractor case studies, and project-completion social media posts) for every facility already confirmed in this project's 71-building dataset, to establish the visual signature the classifier should learn, not just the footprint area this project's current pipeline already measures.</w:t>
      </w:r>
    </w:p>
    <w:p>
      <w:pPr>
        <w:pStyle w:val="ListParagraph"/>
        <w:numPr>
          <w:ilvl w:val="0"/>
          <w:numId w:val="2"/>
        </w:numPr>
        <w:spacing w:after="80"/>
      </w:pPr>
      <w:r>
        <w:rPr>
          <w:rFonts w:ascii="Calibri" w:cs="Calibri" w:eastAsia="Calibri" w:hAnsi="Calibri"/>
          <w:b w:val="false"/>
          <w:bCs w:val="false"/>
          <w:sz w:val="22"/>
          <w:szCs w:val="22"/>
        </w:rPr>
        <w:t xml:space="preserve">A comparably sized negative-training set of visually similar but non-data-centre structures (warehouses, factories, logistics depots, electrical substations without adjacent server halls) drawn from the same industrial zones, since the current detector's known failure mode, misidentifying non-building or wrong-building features, would be far more costly at wide-area scale than at a single known coordinate.</w:t>
      </w:r>
    </w:p>
    <w:p>
      <w:pPr>
        <w:pStyle w:val="ListParagraph"/>
        <w:numPr>
          <w:ilvl w:val="0"/>
          <w:numId w:val="2"/>
        </w:numPr>
        <w:spacing w:after="80"/>
      </w:pPr>
      <w:r>
        <w:rPr>
          <w:rFonts w:ascii="Calibri" w:cs="Calibri" w:eastAsia="Calibri" w:hAnsi="Calibri"/>
          <w:b w:val="false"/>
          <w:bCs w:val="false"/>
          <w:sz w:val="22"/>
          <w:szCs w:val="22"/>
        </w:rPr>
        <w:t xml:space="preserve">A wide-area imagery acquisition plan covering entire industrial parks, SEZs, and technology corridors rather than fixed-radius captures around known coordinates; this is a materially larger imagery volume and cost than the current per-facility capture method (Section 2), and would need its own cost/coverage assessment before committing to a specific area.</w:t>
      </w:r>
    </w:p>
    <w:p>
      <w:pPr>
        <w:pStyle w:val="ListParagraph"/>
        <w:numPr>
          <w:ilvl w:val="0"/>
          <w:numId w:val="2"/>
        </w:numPr>
        <w:spacing w:after="80"/>
      </w:pPr>
      <w:r>
        <w:rPr>
          <w:rFonts w:ascii="Calibri" w:cs="Calibri" w:eastAsia="Calibri" w:hAnsi="Calibri"/>
          <w:b w:val="false"/>
          <w:bCs w:val="false"/>
          <w:sz w:val="22"/>
          <w:szCs w:val="22"/>
        </w:rPr>
        <w:t xml:space="preserve">An object-detection architecture suited to structure classification within large tiled imagery (for example, a region-proposal or tile-classification convolutional model), rather than the current pipeline's per-image contour-thresholding approach (Section 3.2), since thresholding assumes the target building is already centred in a small, pre-cropped capture.</w:t>
      </w:r>
    </w:p>
    <w:p>
      <w:pPr>
        <w:pStyle w:val="ListParagraph"/>
        <w:numPr>
          <w:ilvl w:val="0"/>
          <w:numId w:val="2"/>
        </w:numPr>
        <w:spacing w:after="80"/>
      </w:pPr>
      <w:r>
        <w:rPr>
          <w:rFonts w:ascii="Calibri" w:cs="Calibri" w:eastAsia="Calibri" w:hAnsi="Calibri"/>
          <w:b w:val="false"/>
          <w:bCs w:val="false"/>
          <w:sz w:val="22"/>
          <w:szCs w:val="22"/>
        </w:rPr>
        <w:t xml:space="preserve">A validation protocol proportional to the higher false-positive risk of open-area search: given the current pipeline's own audited failure rate even when searching a single pre-cropped image at a known coordinate (Section 3.4), a wide-area classifier would need a substantially more rigorous manual confirmation step before any flagged structure is added to a public dataset as a confirmed facility.</w:t>
      </w:r>
    </w:p>
    <w:p>
      <w:pPr>
        <w:pStyle w:val="Heading2"/>
        <w:spacing w:after="120" w:before="240"/>
      </w:pPr>
      <w:r>
        <w:t xml:space="preserve">11.4 Theoretical prerequisites</w:t>
      </w:r>
    </w:p>
    <w:p>
      <w:pPr>
        <w:pStyle w:val="ListParagraph"/>
        <w:numPr>
          <w:ilvl w:val="0"/>
          <w:numId w:val="2"/>
        </w:numPr>
        <w:spacing w:after="80"/>
      </w:pPr>
      <w:r>
        <w:rPr>
          <w:rFonts w:ascii="Calibri" w:cs="Calibri" w:eastAsia="Calibri" w:hAnsi="Calibri"/>
          <w:b w:val="false"/>
          <w:bCs w:val="false"/>
          <w:sz w:val="22"/>
          <w:szCs w:val="22"/>
        </w:rPr>
        <w:t xml:space="preserve">A defensible operational definition of what counts as a “data centre” for classification purposes, distinguishing it from telecommunications exchanges, corporate server rooms, and other structurally similar facilities, since the resource-security and governance argument this project makes depends on the facility class being meaningfully bounded, not merely visually distinctive.</w:t>
      </w:r>
    </w:p>
    <w:p>
      <w:pPr>
        <w:pStyle w:val="ListParagraph"/>
        <w:numPr>
          <w:ilvl w:val="0"/>
          <w:numId w:val="2"/>
        </w:numPr>
        <w:spacing w:after="80"/>
      </w:pPr>
      <w:r>
        <w:rPr>
          <w:rFonts w:ascii="Calibri" w:cs="Calibri" w:eastAsia="Calibri" w:hAnsi="Calibri"/>
          <w:b w:val="false"/>
          <w:bCs w:val="false"/>
          <w:sz w:val="22"/>
          <w:szCs w:val="22"/>
        </w:rPr>
        <w:t xml:space="preserve">An explicit position on the evidentiary standard required before an unconfirmed, classifier-flagged structure is treated as a “discovered” facility for policy or advocacy purposes, given that this project's own credibility rests on the distinction between independently measured, confidently detected findings and speculative or unverified ones (Section 3.5, QA re-check).</w:t>
      </w:r>
    </w:p>
    <w:p>
      <w:pPr>
        <w:pStyle w:val="ListParagraph"/>
        <w:numPr>
          <w:ilvl w:val="0"/>
          <w:numId w:val="2"/>
        </w:numPr>
        <w:spacing w:after="80"/>
      </w:pPr>
      <w:r>
        <w:rPr>
          <w:rFonts w:ascii="Calibri" w:cs="Calibri" w:eastAsia="Calibri" w:hAnsi="Calibri"/>
          <w:b w:val="false"/>
          <w:bCs w:val="false"/>
          <w:sz w:val="22"/>
          <w:szCs w:val="22"/>
        </w:rPr>
        <w:t xml:space="preserve">A consent and disclosure framework for publishing newly discovered, previously unannounced facilities, since surfacing a facility no operator chose to disclose raises different ethical and legal considerations than measuring one that is already public knowledge; this should be resolved before, not after, any wide-area search is run.</w:t>
      </w:r>
    </w:p>
    <w:p>
      <w:pPr>
        <w:pStyle w:val="Heading2"/>
        <w:spacing w:after="120" w:before="240"/>
      </w:pPr>
      <w:r>
        <w:t xml:space="preserve">11.5 Recommended sequencing</w:t>
      </w:r>
    </w:p>
    <w:p>
      <w:pPr>
        <w:spacing w:after="160"/>
        <w:jc w:val="left"/>
      </w:pPr>
      <w:r>
        <w:rPr>
          <w:rFonts w:ascii="Calibri" w:cs="Calibri" w:eastAsia="Calibri" w:hAnsi="Calibri"/>
          <w:b w:val="false"/>
          <w:bCs w:val="false"/>
          <w:i w:val="false"/>
          <w:iCs w:val="false"/>
          <w:sz w:val="22"/>
          <w:szCs w:val="22"/>
        </w:rPr>
        <w:t xml:space="preserve">This is a substantially larger undertaking than any component of the current pipeline, both in imagery volume and in modelling complexity, and sits outside the current subgrant's remaining scope and budget window. It is recorded here as a named, actionable future-work item, with its own prerequisites rather than as an open-ended aspiration, so that a future phase of this project, or another research team building on this dataset, can scope it directly rather than starting from an undefined problem statement.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c9db6425f5d799ade4f408af704909454dacd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2026-08-20T10:08:22.853Z</dcterms:created>
  <dcterms:modified xsi:type="dcterms:W3CDTF">2026-08-20T10:08:22.853Z</dcterms:modified>
</cp:coreProperties>
</file>

<file path=docProps/custom.xml><?xml version="1.0" encoding="utf-8"?>
<Properties xmlns="http://schemas.openxmlformats.org/officeDocument/2006/custom-properties" xmlns:vt="http://schemas.openxmlformats.org/officeDocument/2006/docPropsVTypes"/>
</file>