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GSA Master Facility Database: Methodology Note and Data Dictionary</w:t>
      </w:r>
    </w:p>
    <w:p>
      <w:pPr>
        <w:spacing w:after="150"/>
      </w:pPr>
      <w:r>
        <w:rPr>
          <w:rFonts w:ascii="Calibri" w:cs="Calibri" w:eastAsia="Calibri" w:hAnsi="Calibri"/>
          <w:b w:val="false"/>
          <w:bCs w:val="false"/>
          <w:i/>
          <w:iCs/>
          <w:sz w:val="22"/>
          <w:szCs w:val="22"/>
        </w:rPr>
        <w:t xml:space="preserve">Prepared as an attachment to the Preliminary Results Report, Global South Alliance. Sinar Project PLT.</w:t>
      </w:r>
    </w:p>
    <w:p>
      <w:pPr>
        <w:spacing w:after="150"/>
      </w:pPr>
      <w:r>
        <w:rPr>
          <w:rFonts w:ascii="Calibri" w:cs="Calibri" w:eastAsia="Calibri" w:hAnsi="Calibri"/>
          <w:b w:val="false"/>
          <w:bCs w:val="false"/>
          <w:i w:val="false"/>
          <w:iCs w:val="false"/>
          <w:sz w:val="22"/>
          <w:szCs w:val="22"/>
        </w:rPr>
        <w:t xml:space="preserve">This note explains how the attached database (GSA_Master_Facility_Database.csv) was built, and reconciles its facility counts against those reported in the 15 June 2026 Interim Narrative Report, which reflected an earlier stage of the same pipeline.</w:t>
      </w:r>
    </w:p>
    <w:p>
      <w:pPr>
        <w:pStyle w:val="Heading1"/>
        <w:spacing w:after="140" w:before="300"/>
      </w:pPr>
      <w:r>
        <w:t xml:space="preserve">1. What changed since the June report</w:t>
      </w:r>
    </w:p>
    <w:p>
      <w:pPr>
        <w:spacing w:after="150"/>
      </w:pPr>
      <w:r>
        <w:rPr>
          <w:rFonts w:ascii="Calibri" w:cs="Calibri" w:eastAsia="Calibri" w:hAnsi="Calibri"/>
          <w:b w:val="false"/>
          <w:bCs w:val="false"/>
          <w:i w:val="false"/>
          <w:iCs w:val="false"/>
          <w:sz w:val="22"/>
          <w:szCs w:val="22"/>
        </w:rPr>
        <w:t xml:space="preserve">The June report described 134 raw candidate facilities, of which 129 were successfully geocoded to a physical location (5 could not be located and were diverted to the policy/Hansard review instead, as “ghost facilities”: announced projects with no confirmed physical footprint), and 124 of those 129 received a computer-vision (CV) building-footprint measurement and an associated power/carbon estimate.</w:t>
      </w:r>
    </w:p>
    <w:p>
      <w:pPr>
        <w:spacing w:after="150"/>
      </w:pPr>
      <w:r>
        <w:rPr>
          <w:rFonts w:ascii="Calibri" w:cs="Calibri" w:eastAsia="Calibri" w:hAnsi="Calibri"/>
          <w:b w:val="false"/>
          <w:bCs w:val="false"/>
          <w:i w:val="false"/>
          <w:iCs w:val="false"/>
          <w:sz w:val="22"/>
          <w:szCs w:val="22"/>
        </w:rPr>
        <w:t xml:space="preserve">That 124-facility figure is still the correct starting point for the pipeline. What has changed since June is everything downstream of it:</w:t>
      </w:r>
    </w:p>
    <w:p>
      <w:pPr>
        <w:pStyle w:val="ListParagraph"/>
        <w:numPr>
          <w:ilvl w:val="0"/>
          <w:numId w:val="2"/>
        </w:numPr>
        <w:spacing w:after="70"/>
      </w:pPr>
      <w:r>
        <w:rPr>
          <w:rFonts w:ascii="Calibri" w:cs="Calibri" w:eastAsia="Calibri" w:hAnsi="Calibri"/>
          <w:sz w:val="22"/>
          <w:szCs w:val="22"/>
        </w:rPr>
        <w:t xml:space="preserve">The original CV detector used in June was audited and found, on both automated and manual review, to frequently capture non-building features (shadows, roads, vegetation) rather than the target structure. It was redesigned; see Section 2.</w:t>
      </w:r>
    </w:p>
    <w:p>
      <w:pPr>
        <w:pStyle w:val="ListParagraph"/>
        <w:numPr>
          <w:ilvl w:val="0"/>
          <w:numId w:val="2"/>
        </w:numPr>
        <w:spacing w:after="70"/>
      </w:pPr>
      <w:r>
        <w:rPr>
          <w:rFonts w:ascii="Calibri" w:cs="Calibri" w:eastAsia="Calibri" w:hAnsi="Calibri"/>
          <w:sz w:val="22"/>
          <w:szCs w:val="22"/>
        </w:rPr>
        <w:t xml:space="preserve">Multiple of the 124 named facilities were found to be co-located tenants within the same physical building, sharing one geocoded address, rather than physically distinct sites. Deduplicating these reduced the working set from 124 named entries to 71 physical buildings. This is a facility-count change, not a data-quality problem: nothing was dropped, tenants sharing a building are now correctly counted once.</w:t>
      </w:r>
    </w:p>
    <w:p>
      <w:pPr>
        <w:pStyle w:val="ListParagraph"/>
        <w:numPr>
          <w:ilvl w:val="0"/>
          <w:numId w:val="2"/>
        </w:numPr>
        <w:spacing w:after="70"/>
      </w:pPr>
      <w:r>
        <w:rPr>
          <w:rFonts w:ascii="Calibri" w:cs="Calibri" w:eastAsia="Calibri" w:hAnsi="Calibri"/>
          <w:sz w:val="22"/>
          <w:szCs w:val="22"/>
        </w:rPr>
        <w:t xml:space="preserve">The fixed power-density coefficient used in June to convert footprint area into estimated power was checked against the 8 facilities with operator-disclosed capacity, and found to vary by more than two orders of magnitude in implied power density across those 8 facilities alone. The database therefore now reports disclosed-capacity and modelled facilities separately, rather than as a single blended estimate.</w:t>
      </w:r>
    </w:p>
    <w:p>
      <w:pPr>
        <w:pStyle w:val="ListParagraph"/>
        <w:numPr>
          <w:ilvl w:val="0"/>
          <w:numId w:val="2"/>
        </w:numPr>
        <w:spacing w:after="70"/>
      </w:pPr>
      <w:r>
        <w:rPr>
          <w:rFonts w:ascii="Calibri" w:cs="Calibri" w:eastAsia="Calibri" w:hAnsi="Calibri"/>
          <w:sz w:val="22"/>
          <w:szCs w:val="22"/>
        </w:rPr>
        <w:t xml:space="preserve">An independent verification pass, run after the initial redesigned-detector rerun, found 3 buildings (one corridor of 2, plus one further building) whose coordinates resolve outside Malaysia (one to the Philippines, two to Singapore) despite passing all prior automated checks. These are now excluded pending re-geocoding. One of the three, STT Johor 1, carried a disclosed MW figure, which is why the disclosed-facility count fell from 8 to 7 between the first and current rerun.</w:t>
      </w:r>
    </w:p>
    <w:p>
      <w:pPr>
        <w:pBdr>
          <w:left w:val="single" w:color="999999" w:sz="12" w:space="8"/>
        </w:pBdr>
        <w:spacing w:after="160"/>
        <w:ind w:left="200"/>
      </w:pPr>
      <w:r>
        <w:rPr>
          <w:rFonts w:ascii="Calibri" w:cs="Calibri" w:eastAsia="Calibri" w:hAnsi="Calibri"/>
          <w:i/>
          <w:iCs/>
          <w:color w:val="555555"/>
          <w:sz w:val="20"/>
          <w:szCs w:val="20"/>
        </w:rPr>
        <w:t xml:space="preserve">In short: 124 is the count of named, individually CV-measured facilities before removing duplicate co-located tenants (matches the June report). 71 is the count of physical buildings after deduplication, which is the correct unit for a physical resource-footprint account. Of those 71, 49 are included in the current resource-estimation aggregate (7 disclosed, 42 modelled) and 22 are excluded (3 for an independently verified coordinate outside Malaysia, 19 following an independent manual review that found no confident building visible in the available imagery, superseding the automated detector's earlier, smaller exclusion count). These are the figures used in the attached database and in all technical outputs as of this note.</w:t>
      </w:r>
    </w:p>
    <w:p>
      <w:pPr>
        <w:pStyle w:val="Heading1"/>
        <w:spacing w:after="140" w:before="300"/>
      </w:pPr>
      <w:r>
        <w:t xml:space="preserve">2. Pipeline summary</w:t>
      </w:r>
    </w:p>
    <w:p>
      <w:pPr>
        <w:pStyle w:val="Heading2"/>
        <w:spacing w:after="100" w:before="220"/>
      </w:pPr>
      <w:r>
        <w:t xml:space="preserve">2.1 Geospatial pipeline</w:t>
      </w:r>
    </w:p>
    <w:p>
      <w:pPr>
        <w:spacing w:after="150"/>
      </w:pPr>
      <w:r>
        <w:rPr>
          <w:rFonts w:ascii="Calibri" w:cs="Calibri" w:eastAsia="Calibri" w:hAnsi="Calibri"/>
          <w:b w:val="false"/>
          <w:bCs w:val="false"/>
          <w:i w:val="false"/>
          <w:iCs w:val="false"/>
          <w:sz w:val="22"/>
          <w:szCs w:val="22"/>
        </w:rPr>
        <w:t xml:space="preserve">Facility candidates were compiled from operator disclosures, press releases, and industry trackers, geocoded via the Google Places API, and imaged via the Google Static Maps API. A computer-vision detector measures each facility's building footprint from the satellite image; a redesigned version of this detector (deployed after the June report) uses colour-space masking to exclude vegetation and water, dual-direction thresholding to catch both dark- and light-roofed buildings, and an explicit confidence score, abstaining rather than guessing where no reliable candidate is found. Facilities sharing a geocoded address were deduplicated into single physical-building records. Estimated power, energy, carbon, and water figures are calculated from either operator-disclosed capacity (7 facilities) or modelled footprint area (57 facilities); 7 facilities lack a confident detection or a confirmed Malaysian location and are excluded from the resource totals.</w:t>
      </w:r>
    </w:p>
    <w:p>
      <w:pPr>
        <w:pStyle w:val="Heading2"/>
        <w:spacing w:after="100" w:before="220"/>
      </w:pPr>
      <w:r>
        <w:t xml:space="preserve">2.2 Policy and legislative text corpus</w:t>
      </w:r>
    </w:p>
    <w:p>
      <w:pPr>
        <w:spacing w:after="150"/>
      </w:pPr>
      <w:r>
        <w:rPr>
          <w:rFonts w:ascii="Calibri" w:cs="Calibri" w:eastAsia="Calibri" w:hAnsi="Calibri"/>
          <w:b w:val="false"/>
          <w:bCs w:val="false"/>
          <w:i w:val="false"/>
          <w:iCs w:val="false"/>
          <w:sz w:val="22"/>
          <w:szCs w:val="22"/>
        </w:rPr>
        <w:t xml:space="preserve">In parallel, the project built a document corpus covering Federal Parliamentary Hansards (2008–2026), Johor State Assembly Hansards, national Environmental Impact Assessment records, and New Industrial Master Plan documentation, and ran a keyword-based extraction and manual triage process to identify genuine data-centre-related discussion (regulatory milestones, investment figures, resource-constraint statements, and community or utility-competition grievances) versus false-positive keyword matches. This corpus underpins both the expanded Background section of the main report and the governance-gap findings referenced in the project's Assessment.</w:t>
      </w:r>
    </w:p>
    <w:p>
      <w:pPr>
        <w:pStyle w:val="Heading1"/>
        <w:spacing w:after="140" w:before="300"/>
      </w:pPr>
      <w:r>
        <w:t xml:space="preserve">3. Data dictionary: GSA_Master_Facility_Database.csv</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600"/>
      </w:tblGrid>
      <w:tr>
        <w:tc>
          <w:tcPr>
            <w:tcW w:type="dxa" w:w="2600"/>
            <w:shd w:fill="1F3864" w:val="clear"/>
            <w:vAlign w:val="center"/>
          </w:tcPr>
          <w:p>
            <w:r>
              <w:rPr>
                <w:rFonts w:ascii="Calibri" w:cs="Calibri" w:eastAsia="Calibri" w:hAnsi="Calibri"/>
                <w:b/>
                <w:bCs/>
                <w:color w:val="FFFFFF"/>
                <w:sz w:val="19"/>
                <w:szCs w:val="19"/>
              </w:rPr>
              <w:t xml:space="preserve">Field</w:t>
            </w:r>
          </w:p>
        </w:tc>
        <w:tc>
          <w:tcPr>
            <w:tcW w:type="dxa" w:w="2600"/>
            <w:shd w:fill="1F3864" w:val="clear"/>
            <w:vAlign w:val="center"/>
          </w:tcPr>
          <w:p>
            <w:r>
              <w:rPr>
                <w:rFonts w:ascii="Calibri" w:cs="Calibri" w:eastAsia="Calibri" w:hAnsi="Calibri"/>
                <w:b/>
                <w:bCs/>
                <w:color w:val="FFFFFF"/>
                <w:sz w:val="19"/>
                <w:szCs w:val="19"/>
              </w:rPr>
              <w:t xml:space="preserve">Type</w:t>
            </w:r>
          </w:p>
        </w:tc>
        <w:tc>
          <w:tcPr>
            <w:tcW w:type="dxa" w:w="5600"/>
            <w:shd w:fill="1F3864" w:val="clear"/>
            <w:vAlign w:val="center"/>
          </w:tcPr>
          <w:p>
            <w:r>
              <w:rPr>
                <w:rFonts w:ascii="Calibri" w:cs="Calibri" w:eastAsia="Calibri" w:hAnsi="Calibri"/>
                <w:b/>
                <w:bCs/>
                <w:color w:val="FFFFFF"/>
                <w:sz w:val="19"/>
                <w:szCs w:val="19"/>
              </w:rPr>
              <w:t xml:space="preserve">Description</w:t>
            </w:r>
          </w:p>
        </w:tc>
      </w:tr>
      <w:tr>
        <w:tc>
          <w:tcPr>
            <w:tcW w:type="dxa" w:w="2600"/>
            <w:vAlign w:val="center"/>
          </w:tcPr>
          <w:p>
            <w:r>
              <w:rPr>
                <w:rFonts w:ascii="Calibri" w:cs="Calibri" w:eastAsia="Calibri" w:hAnsi="Calibri"/>
                <w:b w:val="false"/>
                <w:bCs w:val="false"/>
                <w:color w:val="000000"/>
                <w:sz w:val="19"/>
                <w:szCs w:val="19"/>
              </w:rPr>
              <w:t xml:space="preserve">Building_ID</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Unique identifier (latitude_longitude of the deduplicated physical building).</w:t>
            </w:r>
          </w:p>
        </w:tc>
      </w:tr>
      <w:tr>
        <w:tc>
          <w:tcPr>
            <w:tcW w:type="dxa" w:w="2600"/>
            <w:vAlign w:val="center"/>
          </w:tcPr>
          <w:p>
            <w:r>
              <w:rPr>
                <w:rFonts w:ascii="Calibri" w:cs="Calibri" w:eastAsia="Calibri" w:hAnsi="Calibri"/>
                <w:b w:val="false"/>
                <w:bCs w:val="false"/>
                <w:color w:val="000000"/>
                <w:sz w:val="19"/>
                <w:szCs w:val="19"/>
              </w:rPr>
              <w:t xml:space="preserve">Latitude / Longitude</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Geocoded coordinate of the physical building.</w:t>
            </w:r>
          </w:p>
        </w:tc>
      </w:tr>
      <w:tr>
        <w:tc>
          <w:tcPr>
            <w:tcW w:type="dxa" w:w="2600"/>
            <w:vAlign w:val="center"/>
          </w:tcPr>
          <w:p>
            <w:r>
              <w:rPr>
                <w:rFonts w:ascii="Calibri" w:cs="Calibri" w:eastAsia="Calibri" w:hAnsi="Calibri"/>
                <w:b w:val="false"/>
                <w:bCs w:val="false"/>
                <w:color w:val="000000"/>
                <w:sz w:val="19"/>
                <w:szCs w:val="19"/>
              </w:rPr>
              <w:t xml:space="preserve">Tenant_Names</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One or more operator/tenant names sharing this physical building, semicolon-separated where more than one.</w:t>
            </w:r>
          </w:p>
        </w:tc>
      </w:tr>
      <w:tr>
        <w:tc>
          <w:tcPr>
            <w:tcW w:type="dxa" w:w="2600"/>
            <w:vAlign w:val="center"/>
          </w:tcPr>
          <w:p>
            <w:r>
              <w:rPr>
                <w:rFonts w:ascii="Calibri" w:cs="Calibri" w:eastAsia="Calibri" w:hAnsi="Calibri"/>
                <w:b w:val="false"/>
                <w:bCs w:val="false"/>
                <w:color w:val="000000"/>
                <w:sz w:val="19"/>
                <w:szCs w:val="19"/>
              </w:rPr>
              <w:t xml:space="preserve">N_Tenant_Names</w:t>
            </w:r>
          </w:p>
        </w:tc>
        <w:tc>
          <w:tcPr>
            <w:tcW w:type="dxa" w:w="2600"/>
            <w:vAlign w:val="center"/>
          </w:tcPr>
          <w:p>
            <w:r>
              <w:rPr>
                <w:rFonts w:ascii="Calibri" w:cs="Calibri" w:eastAsia="Calibri" w:hAnsi="Calibri"/>
                <w:b w:val="false"/>
                <w:bCs w:val="false"/>
                <w:color w:val="000000"/>
                <w:sz w:val="19"/>
                <w:szCs w:val="19"/>
              </w:rPr>
              <w:t xml:space="preserve">integer</w:t>
            </w:r>
          </w:p>
        </w:tc>
        <w:tc>
          <w:tcPr>
            <w:tcW w:type="dxa" w:w="5600"/>
            <w:vAlign w:val="center"/>
          </w:tcPr>
          <w:p>
            <w:r>
              <w:rPr>
                <w:rFonts w:ascii="Calibri" w:cs="Calibri" w:eastAsia="Calibri" w:hAnsi="Calibri"/>
                <w:b w:val="false"/>
                <w:bCs w:val="false"/>
                <w:color w:val="000000"/>
                <w:sz w:val="19"/>
                <w:szCs w:val="19"/>
              </w:rPr>
              <w:t xml:space="preserve">Count of tenant names collapsed into this building record.</w:t>
            </w:r>
          </w:p>
        </w:tc>
      </w:tr>
      <w:tr>
        <w:tc>
          <w:tcPr>
            <w:tcW w:type="dxa" w:w="2600"/>
            <w:vAlign w:val="center"/>
          </w:tcPr>
          <w:p>
            <w:r>
              <w:rPr>
                <w:rFonts w:ascii="Calibri" w:cs="Calibri" w:eastAsia="Calibri" w:hAnsi="Calibri"/>
                <w:b w:val="false"/>
                <w:bCs w:val="false"/>
                <w:color w:val="000000"/>
                <w:sz w:val="19"/>
                <w:szCs w:val="19"/>
              </w:rPr>
              <w:t xml:space="preserve">Extracted_Area_m2</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CV-detected building footprint area in square metres, where a confident detection exists.</w:t>
            </w:r>
          </w:p>
        </w:tc>
      </w:tr>
      <w:tr>
        <w:tc>
          <w:tcPr>
            <w:tcW w:type="dxa" w:w="2600"/>
            <w:vAlign w:val="center"/>
          </w:tcPr>
          <w:p>
            <w:r>
              <w:rPr>
                <w:rFonts w:ascii="Calibri" w:cs="Calibri" w:eastAsia="Calibri" w:hAnsi="Calibri"/>
                <w:b w:val="false"/>
                <w:bCs w:val="false"/>
                <w:color w:val="000000"/>
                <w:sz w:val="19"/>
                <w:szCs w:val="19"/>
              </w:rPr>
              <w:t xml:space="preserve">CV_Confidence</w:t>
            </w:r>
          </w:p>
        </w:tc>
        <w:tc>
          <w:tcPr>
            <w:tcW w:type="dxa" w:w="2600"/>
            <w:vAlign w:val="center"/>
          </w:tcPr>
          <w:p>
            <w:r>
              <w:rPr>
                <w:rFonts w:ascii="Calibri" w:cs="Calibri" w:eastAsia="Calibri" w:hAnsi="Calibri"/>
                <w:b w:val="false"/>
                <w:bCs w:val="false"/>
                <w:color w:val="000000"/>
                <w:sz w:val="19"/>
                <w:szCs w:val="19"/>
              </w:rPr>
              <w:t xml:space="preserve">decimal (0-1)</w:t>
            </w:r>
          </w:p>
        </w:tc>
        <w:tc>
          <w:tcPr>
            <w:tcW w:type="dxa" w:w="5600"/>
            <w:vAlign w:val="center"/>
          </w:tcPr>
          <w:p>
            <w:r>
              <w:rPr>
                <w:rFonts w:ascii="Calibri" w:cs="Calibri" w:eastAsia="Calibri" w:hAnsi="Calibri"/>
                <w:b w:val="false"/>
                <w:bCs w:val="false"/>
                <w:color w:val="000000"/>
                <w:sz w:val="19"/>
                <w:szCs w:val="19"/>
              </w:rPr>
              <w:t xml:space="preserve">Heuristic detection confidence score; not a calibrated probability.</w:t>
            </w:r>
          </w:p>
        </w:tc>
      </w:tr>
      <w:tr>
        <w:tc>
          <w:tcPr>
            <w:tcW w:type="dxa" w:w="2600"/>
            <w:vAlign w:val="center"/>
          </w:tcPr>
          <w:p>
            <w:r>
              <w:rPr>
                <w:rFonts w:ascii="Calibri" w:cs="Calibri" w:eastAsia="Calibri" w:hAnsi="Calibri"/>
                <w:b w:val="false"/>
                <w:bCs w:val="false"/>
                <w:color w:val="000000"/>
                <w:sz w:val="19"/>
                <w:szCs w:val="19"/>
              </w:rPr>
              <w:t xml:space="preserve">CV_Flags</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Detection-quality flags (e.g. FAR_FROM_CENTER, LOW_COMPACTNESS, NO_CONFIDENT_DETECTION).</w:t>
            </w:r>
          </w:p>
        </w:tc>
      </w:tr>
      <w:tr>
        <w:tc>
          <w:tcPr>
            <w:tcW w:type="dxa" w:w="2600"/>
            <w:vAlign w:val="center"/>
          </w:tcPr>
          <w:p>
            <w:r>
              <w:rPr>
                <w:rFonts w:ascii="Calibri" w:cs="Calibri" w:eastAsia="Calibri" w:hAnsi="Calibri"/>
                <w:b w:val="false"/>
                <w:bCs w:val="false"/>
                <w:color w:val="000000"/>
                <w:sz w:val="19"/>
                <w:szCs w:val="19"/>
              </w:rPr>
              <w:t xml:space="preserve">Disclosed_MW</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Operator-disclosed capacity in megawatts, where publicly available (7 of 71 included buildings; one further disclosed-capacity building, STT Johor 1, is excluded, see Section 1).</w:t>
            </w:r>
          </w:p>
        </w:tc>
      </w:tr>
      <w:tr>
        <w:tc>
          <w:tcPr>
            <w:tcW w:type="dxa" w:w="2600"/>
            <w:vAlign w:val="center"/>
          </w:tcPr>
          <w:p>
            <w:r>
              <w:rPr>
                <w:rFonts w:ascii="Calibri" w:cs="Calibri" w:eastAsia="Calibri" w:hAnsi="Calibri"/>
                <w:b w:val="false"/>
                <w:bCs w:val="false"/>
                <w:color w:val="000000"/>
                <w:sz w:val="19"/>
                <w:szCs w:val="19"/>
              </w:rPr>
              <w:t xml:space="preserve">Est_Facility_Power_kW</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Estimated total facility power: disclosed MW where available, otherwise modelled from footprint area.</w:t>
            </w:r>
          </w:p>
        </w:tc>
      </w:tr>
      <w:tr>
        <w:tc>
          <w:tcPr>
            <w:tcW w:type="dxa" w:w="2600"/>
            <w:vAlign w:val="center"/>
          </w:tcPr>
          <w:p>
            <w:r>
              <w:rPr>
                <w:rFonts w:ascii="Calibri" w:cs="Calibri" w:eastAsia="Calibri" w:hAnsi="Calibri"/>
                <w:b w:val="false"/>
                <w:bCs w:val="false"/>
                <w:color w:val="000000"/>
                <w:sz w:val="19"/>
                <w:szCs w:val="19"/>
              </w:rPr>
              <w:t xml:space="preserve">Est_Annual_Energy_MWh</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Estimated annual energy consumption.</w:t>
            </w:r>
          </w:p>
        </w:tc>
      </w:tr>
      <w:tr>
        <w:tc>
          <w:tcPr>
            <w:tcW w:type="dxa" w:w="2600"/>
            <w:vAlign w:val="center"/>
          </w:tcPr>
          <w:p>
            <w:r>
              <w:rPr>
                <w:rFonts w:ascii="Calibri" w:cs="Calibri" w:eastAsia="Calibri" w:hAnsi="Calibri"/>
                <w:b w:val="false"/>
                <w:bCs w:val="false"/>
                <w:color w:val="000000"/>
                <w:sz w:val="19"/>
                <w:szCs w:val="19"/>
              </w:rPr>
              <w:t xml:space="preserve">Est_Annual_Carbon_tCO2e</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Estimated annual carbon emissions, using the Peninsular Malaysia grid emission factor.</w:t>
            </w:r>
          </w:p>
        </w:tc>
      </w:tr>
      <w:tr>
        <w:tc>
          <w:tcPr>
            <w:tcW w:type="dxa" w:w="2600"/>
            <w:vAlign w:val="center"/>
          </w:tcPr>
          <w:p>
            <w:r>
              <w:rPr>
                <w:rFonts w:ascii="Calibri" w:cs="Calibri" w:eastAsia="Calibri" w:hAnsi="Calibri"/>
                <w:b w:val="false"/>
                <w:bCs w:val="false"/>
                <w:color w:val="000000"/>
                <w:sz w:val="19"/>
                <w:szCs w:val="19"/>
              </w:rPr>
              <w:t xml:space="preserve">Est_Water_Optimized_L_yr / Est_Water_Regional_L_yr</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Estimated annual water consumption under an optimised and a regional/tropical water-usage-effectiveness scenario respectively.</w:t>
            </w:r>
          </w:p>
        </w:tc>
      </w:tr>
      <w:tr>
        <w:tc>
          <w:tcPr>
            <w:tcW w:type="dxa" w:w="2600"/>
            <w:vAlign w:val="center"/>
          </w:tcPr>
          <w:p>
            <w:r>
              <w:rPr>
                <w:rFonts w:ascii="Calibri" w:cs="Calibri" w:eastAsia="Calibri" w:hAnsi="Calibri"/>
                <w:b w:val="false"/>
                <w:bCs w:val="false"/>
                <w:color w:val="000000"/>
                <w:sz w:val="19"/>
                <w:szCs w:val="19"/>
              </w:rPr>
              <w:t xml:space="preserve">Est_Waste_Heat_GJ_yr</w:t>
            </w:r>
          </w:p>
        </w:tc>
        <w:tc>
          <w:tcPr>
            <w:tcW w:type="dxa" w:w="2600"/>
            <w:vAlign w:val="center"/>
          </w:tcPr>
          <w:p>
            <w:r>
              <w:rPr>
                <w:rFonts w:ascii="Calibri" w:cs="Calibri" w:eastAsia="Calibri" w:hAnsi="Calibri"/>
                <w:b w:val="false"/>
                <w:bCs w:val="false"/>
                <w:color w:val="000000"/>
                <w:sz w:val="19"/>
                <w:szCs w:val="19"/>
              </w:rPr>
              <w:t xml:space="preserve">decimal</w:t>
            </w:r>
          </w:p>
        </w:tc>
        <w:tc>
          <w:tcPr>
            <w:tcW w:type="dxa" w:w="5600"/>
            <w:vAlign w:val="center"/>
          </w:tcPr>
          <w:p>
            <w:r>
              <w:rPr>
                <w:rFonts w:ascii="Calibri" w:cs="Calibri" w:eastAsia="Calibri" w:hAnsi="Calibri"/>
                <w:b w:val="false"/>
                <w:bCs w:val="false"/>
                <w:color w:val="000000"/>
                <w:sz w:val="19"/>
                <w:szCs w:val="19"/>
              </w:rPr>
              <w:t xml:space="preserve">Estimated annual waste heat output.</w:t>
            </w:r>
          </w:p>
        </w:tc>
      </w:tr>
      <w:tr>
        <w:tc>
          <w:tcPr>
            <w:tcW w:type="dxa" w:w="2600"/>
            <w:vAlign w:val="center"/>
          </w:tcPr>
          <w:p>
            <w:r>
              <w:rPr>
                <w:rFonts w:ascii="Calibri" w:cs="Calibri" w:eastAsia="Calibri" w:hAnsi="Calibri"/>
                <w:b w:val="false"/>
                <w:bCs w:val="false"/>
                <w:color w:val="000000"/>
                <w:sz w:val="19"/>
                <w:szCs w:val="19"/>
              </w:rPr>
              <w:t xml:space="preserve">Power_Source</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Whether the power figure is DISCLOSED (operator-reported) or MODELED (estimated from footprint area, low confidence).</w:t>
            </w:r>
          </w:p>
        </w:tc>
      </w:tr>
      <w:tr>
        <w:tc>
          <w:tcPr>
            <w:tcW w:type="dxa" w:w="2600"/>
            <w:vAlign w:val="center"/>
          </w:tcPr>
          <w:p>
            <w:r>
              <w:rPr>
                <w:rFonts w:ascii="Calibri" w:cs="Calibri" w:eastAsia="Calibri" w:hAnsi="Calibri"/>
                <w:b w:val="false"/>
                <w:bCs w:val="false"/>
                <w:color w:val="000000"/>
                <w:sz w:val="19"/>
                <w:szCs w:val="19"/>
              </w:rPr>
              <w:t xml:space="preserve">Status</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Inclusion status; EXCLUDED rows have no confident CV detection or confirmed Malaysian location and carry no resource estimates.</w:t>
            </w:r>
          </w:p>
        </w:tc>
      </w:tr>
      <w:tr>
        <w:tc>
          <w:tcPr>
            <w:tcW w:type="dxa" w:w="2600"/>
            <w:vAlign w:val="center"/>
          </w:tcPr>
          <w:p>
            <w:r>
              <w:rPr>
                <w:rFonts w:ascii="Calibri" w:cs="Calibri" w:eastAsia="Calibri" w:hAnsi="Calibri"/>
                <w:b w:val="false"/>
                <w:bCs w:val="false"/>
                <w:color w:val="000000"/>
                <w:sz w:val="19"/>
                <w:szCs w:val="19"/>
              </w:rPr>
              <w:t xml:space="preserve">QA_Notes</w:t>
            </w:r>
          </w:p>
        </w:tc>
        <w:tc>
          <w:tcPr>
            <w:tcW w:type="dxa" w:w="2600"/>
            <w:vAlign w:val="center"/>
          </w:tcPr>
          <w:p>
            <w:r>
              <w:rPr>
                <w:rFonts w:ascii="Calibri" w:cs="Calibri" w:eastAsia="Calibri" w:hAnsi="Calibri"/>
                <w:b w:val="false"/>
                <w:bCs w:val="false"/>
                <w:color w:val="000000"/>
                <w:sz w:val="19"/>
                <w:szCs w:val="19"/>
              </w:rPr>
              <w:t xml:space="preserve">text</w:t>
            </w:r>
          </w:p>
        </w:tc>
        <w:tc>
          <w:tcPr>
            <w:tcW w:type="dxa" w:w="5600"/>
            <w:vAlign w:val="center"/>
          </w:tcPr>
          <w:p>
            <w:r>
              <w:rPr>
                <w:rFonts w:ascii="Calibri" w:cs="Calibri" w:eastAsia="Calibri" w:hAnsi="Calibri"/>
                <w:b w:val="false"/>
                <w:bCs w:val="false"/>
                <w:color w:val="000000"/>
                <w:sz w:val="19"/>
                <w:szCs w:val="19"/>
              </w:rPr>
              <w:t xml:space="preserve">Findings from the independent verification pass (border-hugging boxes, City-field mismatches, out-of-country coordinates), populated for 10 of 71 rows; see the accompanying Verification and QA Report.</w:t>
            </w:r>
          </w:p>
        </w:tc>
      </w:tr>
    </w:tbl>
    <w:p>
      <w:pPr>
        <w:pStyle w:val="Heading1"/>
        <w:spacing w:after="140" w:before="300"/>
      </w:pPr>
      <w:r>
        <w:t xml:space="preserve">4. Verification steps applied</w:t>
      </w:r>
    </w:p>
    <w:p>
      <w:pPr>
        <w:pStyle w:val="ListParagraph"/>
        <w:numPr>
          <w:ilvl w:val="0"/>
          <w:numId w:val="2"/>
        </w:numPr>
        <w:spacing w:after="70"/>
      </w:pPr>
      <w:r>
        <w:rPr>
          <w:rFonts w:ascii="Calibri" w:cs="Calibri" w:eastAsia="Calibri" w:hAnsi="Calibri"/>
          <w:sz w:val="22"/>
          <w:szCs w:val="22"/>
        </w:rPr>
        <w:t xml:space="preserve">Positional accuracy: a 10% random sample of finalised coordinates was checked against source addresses and satellite imagery.</w:t>
      </w:r>
    </w:p>
    <w:p>
      <w:pPr>
        <w:pStyle w:val="ListParagraph"/>
        <w:numPr>
          <w:ilvl w:val="0"/>
          <w:numId w:val="2"/>
        </w:numPr>
        <w:spacing w:after="70"/>
      </w:pPr>
      <w:r>
        <w:rPr>
          <w:rFonts w:ascii="Calibri" w:cs="Calibri" w:eastAsia="Calibri" w:hAnsi="Calibri"/>
          <w:sz w:val="22"/>
          <w:szCs w:val="22"/>
        </w:rPr>
        <w:t xml:space="preserve">CV extraction QA: a sample of facilities was manually re-measured and compared against CV-derived area to characterise the bounding-box error rate.</w:t>
      </w:r>
    </w:p>
    <w:p>
      <w:pPr>
        <w:pStyle w:val="ListParagraph"/>
        <w:numPr>
          <w:ilvl w:val="0"/>
          <w:numId w:val="2"/>
        </w:numPr>
        <w:spacing w:after="70"/>
      </w:pPr>
      <w:r>
        <w:rPr>
          <w:rFonts w:ascii="Calibri" w:cs="Calibri" w:eastAsia="Calibri" w:hAnsi="Calibri"/>
          <w:sz w:val="22"/>
          <w:szCs w:val="22"/>
        </w:rPr>
        <w:t xml:space="preserve">Completeness audit: the 134 raw candidates were reconciled against 129 geocoded, 124 CV-measured, and 71 deduplicated counts, with all exclusions (5 ghost facilities, 4 no-confident-detection buildings) explicitly logged rather than silently dropped.</w:t>
      </w:r>
    </w:p>
    <w:p>
      <w:pPr>
        <w:pStyle w:val="ListParagraph"/>
        <w:numPr>
          <w:ilvl w:val="0"/>
          <w:numId w:val="2"/>
        </w:numPr>
        <w:spacing w:after="70"/>
      </w:pPr>
      <w:r>
        <w:rPr>
          <w:rFonts w:ascii="Calibri" w:cs="Calibri" w:eastAsia="Calibri" w:hAnsi="Calibri"/>
          <w:sz w:val="22"/>
          <w:szCs w:val="22"/>
        </w:rPr>
        <w:t xml:space="preserve">Duplicate and null checks: an automated pass over the consolidated database confirmed no duplicate Building_ID values and flagged all records with missing required fields.</w:t>
      </w:r>
    </w:p>
    <w:p>
      <w:pPr>
        <w:pStyle w:val="ListParagraph"/>
        <w:numPr>
          <w:ilvl w:val="0"/>
          <w:numId w:val="2"/>
        </w:numPr>
        <w:spacing w:after="70"/>
      </w:pPr>
      <w:r>
        <w:rPr>
          <w:rFonts w:ascii="Calibri" w:cs="Calibri" w:eastAsia="Calibri" w:hAnsi="Calibri"/>
          <w:sz w:val="22"/>
          <w:szCs w:val="22"/>
        </w:rPr>
        <w:t xml:space="preserve">Independent re-check: a further verification pass across the full 71-building set, run separately from the checks above, found 3 buildings with a coordinate resolving outside Malaysia (1 to the Philippines, 2 to Singapore) that had passed every prior automated check; these are now excluded pending re-geocoding. See the standalone Verification and QA Report for full findings.</w:t>
      </w:r>
    </w:p>
    <w:p>
      <w:pPr>
        <w:pStyle w:val="Heading1"/>
        <w:spacing w:after="140" w:before="300"/>
      </w:pPr>
      <w:r>
        <w:t xml:space="preserve">5. Attachments accompanying this note</w:t>
      </w:r>
    </w:p>
    <w:p>
      <w:pPr>
        <w:pStyle w:val="ListParagraph"/>
        <w:numPr>
          <w:ilvl w:val="0"/>
          <w:numId w:val="2"/>
        </w:numPr>
        <w:spacing w:after="70"/>
      </w:pPr>
      <w:r>
        <w:rPr>
          <w:rFonts w:ascii="Calibri" w:cs="Calibri" w:eastAsia="Calibri" w:hAnsi="Calibri"/>
          <w:sz w:val="22"/>
          <w:szCs w:val="22"/>
        </w:rPr>
        <w:t xml:space="preserve">GSA_Master_Facility_Database.csv — the consolidated 71-building dataset described above.</w:t>
      </w:r>
    </w:p>
    <w:p>
      <w:pPr>
        <w:pStyle w:val="ListParagraph"/>
        <w:numPr>
          <w:ilvl w:val="0"/>
          <w:numId w:val="2"/>
        </w:numPr>
        <w:spacing w:after="70"/>
      </w:pPr>
      <w:r>
        <w:rPr>
          <w:rFonts w:ascii="Calibri" w:cs="Calibri" w:eastAsia="Calibri" w:hAnsi="Calibri"/>
          <w:sz w:val="22"/>
          <w:szCs w:val="22"/>
        </w:rPr>
        <w:t xml:space="preserve">Text corpus export and metadata index (Hansard/EIA/NIMP), packaged separately per the project's data-sharing approach: indexing notes and triage summaries are included; raw source PDFs remain with the project team given file size and the corpus's status as third-party public records rather than project-generated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2026-08-20T10:08:23.675Z</dcterms:created>
  <dcterms:modified xsi:type="dcterms:W3CDTF">2026-08-20T10:08:23.676Z</dcterms:modified>
</cp:coreProperties>
</file>

<file path=docProps/custom.xml><?xml version="1.0" encoding="utf-8"?>
<Properties xmlns="http://schemas.openxmlformats.org/officeDocument/2006/custom-properties" xmlns:vt="http://schemas.openxmlformats.org/officeDocument/2006/docPropsVTypes"/>
</file>