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F3864"/>
          <w:sz w:val="30"/>
          <w:szCs w:val="30"/>
        </w:rPr>
        <w:t xml:space="preserve">Policy Audit Report: Data Centre Environmental and Investment Governance in Malaysia, with Comparative Reference to Indonesia</w:t>
      </w:r>
    </w:p>
    <w:p>
      <w:pPr>
        <w:spacing w:after="160"/>
        <w:jc w:val="left"/>
      </w:pPr>
      <w:r>
        <w:rPr>
          <w:rFonts w:ascii="Calibri" w:cs="Calibri" w:eastAsia="Calibri" w:hAnsi="Calibri"/>
          <w:b w:val="false"/>
          <w:bCs w:val="false"/>
          <w:i/>
          <w:iCs/>
          <w:sz w:val="22"/>
          <w:szCs w:val="22"/>
        </w:rPr>
        <w:t xml:space="preserve">Activity 1 Output 2, Global South Alliance, Sinar Project PLT. Resource Security: Data Center Resource Extraction and Autonomy in the Global South.</w:t>
      </w:r>
    </w:p>
    <w:p>
      <w:pPr>
        <w:spacing w:after="160"/>
        <w:jc w:val="left"/>
      </w:pPr>
      <w:r>
        <w:rPr>
          <w:rFonts w:ascii="Calibri" w:cs="Calibri" w:eastAsia="Calibri" w:hAnsi="Calibri"/>
          <w:b w:val="false"/>
          <w:bCs w:val="false"/>
          <w:i/>
          <w:iCs/>
          <w:sz w:val="22"/>
          <w:szCs w:val="22"/>
        </w:rPr>
        <w:t xml:space="preserve">This report extracts and consolidates the regulatory and legislative findings previously distributed across the project's full technical methodology (Sections 6 and 7) and the comparative Indonesia desk review into a single standalone policy audit document, for direct circulation separately from the technical CV-detection and resource-estimation material.</w:t>
      </w:r>
    </w:p>
    <w:p>
      <w:pPr>
        <w:pStyle w:val="Heading1"/>
        <w:spacing w:after="160" w:before="320"/>
      </w:pPr>
      <w:r>
        <w:t xml:space="preserve">1. Executive Summary</w:t>
      </w:r>
    </w:p>
    <w:p>
      <w:pPr>
        <w:spacing w:after="160"/>
        <w:jc w:val="left"/>
      </w:pPr>
      <w:r>
        <w:rPr>
          <w:rFonts w:ascii="Calibri" w:cs="Calibri" w:eastAsia="Calibri" w:hAnsi="Calibri"/>
          <w:b w:val="false"/>
          <w:bCs w:val="false"/>
          <w:i w:val="false"/>
          <w:iCs w:val="false"/>
          <w:sz w:val="22"/>
          <w:szCs w:val="22"/>
        </w:rPr>
        <w:t xml:space="preserve">No Malaysian jurisdiction with a satellite-confirmed data centre facility, federal or the independently governed states of Sarawak and Sabah, has a dedicated environmental-review category for data centres. Facilities are treated as generic industrial or commercial floor area under existing hectare-based Environmental Impact Assessment (EIA) thresholds. Because individual data centre parcels in Malaysia are typically 1 to 2 acres, well under these thresholds, a corridor of sequentially developed, individually sub-threshold facilities can produce an aggregate resource and land-use footprint that would clearly warrant review if built as a single project, without any one facility crossing the threshold that would require it.</w:t>
      </w:r>
    </w:p>
    <w:p>
      <w:pPr>
        <w:spacing w:after="160"/>
        <w:jc w:val="left"/>
      </w:pPr>
      <w:r>
        <w:rPr>
          <w:rFonts w:ascii="Calibri" w:cs="Calibri" w:eastAsia="Calibri" w:hAnsi="Calibri"/>
          <w:b w:val="false"/>
          <w:bCs w:val="false"/>
          <w:i w:val="false"/>
          <w:iCs w:val="false"/>
          <w:sz w:val="22"/>
          <w:szCs w:val="22"/>
        </w:rPr>
        <w:t xml:space="preserve">This is not a theoretical concern. A satellite-derived land-cover analysis across 16 geographic corridors covering 68 of the project's 71 measured buildings found approximately 1,537.5 hectares of tree cover loss since 2001, an area-weighted 17.3% of combined 2000 canopy baseline, none of which appears in any federal or Johor state legislative record reviewed (2008-2026). A parallel review of Indonesia's comparable AMDAL/UKL-UPL/SPPL environmental-review architecture found the same structural vulnerability present there too, suggesting this is a general feature of area-based environmental review design applied to a land-efficient but resource-intensive facility class, not a Malaysia-specific drafting gap.</w:t>
      </w:r>
    </w:p>
    <w:p>
      <w:pPr>
        <w:spacing w:after="160"/>
        <w:jc w:val="left"/>
      </w:pPr>
      <w:r>
        <w:rPr>
          <w:rFonts w:ascii="Calibri" w:cs="Calibri" w:eastAsia="Calibri" w:hAnsi="Calibri"/>
          <w:b w:val="false"/>
          <w:bCs w:val="false"/>
          <w:i w:val="false"/>
          <w:iCs w:val="false"/>
          <w:sz w:val="22"/>
          <w:szCs w:val="22"/>
        </w:rPr>
        <w:t xml:space="preserve">Separately, Malaysia's data centre-specific governance instruments (the National Data Centre Framework, PLANMalaysia planning guidelines, MCMC's green data centre technical code) were all issued in 2024-2025, more than four years after the current investment wave began in 2021, and none of them address the environmental-review gap identified above. State-level responses have begun to emerge in the absence of a coordinated framework: Johor imposed a moratorium on new Tier 1/Tier 2 data centre approvals in November 2025, and the federal government has confirmed that some proposed projects have been cancelled for energy and water reasons.</w:t>
      </w:r>
    </w:p>
    <w:p>
      <w:pPr>
        <w:pStyle w:val="Heading1"/>
        <w:spacing w:after="160" w:before="320"/>
      </w:pPr>
      <w:r>
        <w:t xml:space="preserve">2. Scope and Methods</w:t>
      </w:r>
    </w:p>
    <w:p>
      <w:pPr>
        <w:spacing w:after="160"/>
        <w:jc w:val="left"/>
      </w:pPr>
      <w:r>
        <w:rPr>
          <w:rFonts w:ascii="Calibri" w:cs="Calibri" w:eastAsia="Calibri" w:hAnsi="Calibri"/>
          <w:b w:val="false"/>
          <w:bCs w:val="false"/>
          <w:i w:val="false"/>
          <w:iCs w:val="false"/>
          <w:sz w:val="22"/>
          <w:szCs w:val="22"/>
        </w:rPr>
        <w:t xml:space="preserve">Findings in this report are drawn from two sources, both developed under this project's Activity 1 scope: a jurisdiction-by-jurisdiction review of Malaysian federal and state environmental-review and planning instruments, cross-referenced against the project's satellite-confirmed facility coordinates; and a systematic keyword search and manual triage of the federal Dewan Rakyat and Johor State Assembly Hansard record (2008-2026, 1,309 files searched, 174 candidate matches, 171 confirmed substantively relevant). The full technical methodology for both, including the underlying pipeline code and search parameters, is documented in the companion Full Project Methodology, Sections 6 and 7. The comparative Indonesia material is drawn from a separate desk review (Section 4 below), scoped as a regulatory comparison rather than a facility-level measurement exercise.</w:t>
      </w:r>
    </w:p>
    <w:p>
      <w:pPr>
        <w:pStyle w:val="Heading1"/>
        <w:spacing w:after="160" w:before="320"/>
      </w:pPr>
      <w:r>
        <w:t xml:space="preserve">3. Malaysia: Regulatory Findings</w:t>
      </w:r>
    </w:p>
    <w:p>
      <w:pPr>
        <w:pStyle w:val="Heading2"/>
        <w:spacing w:after="120" w:before="240"/>
      </w:pPr>
      <w:r>
        <w:t xml:space="preserve">3.1 No dedicated environmental-review category for data centres</w:t>
      </w:r>
    </w:p>
    <w:p>
      <w:pPr>
        <w:spacing w:after="160"/>
        <w:jc w:val="left"/>
      </w:pPr>
      <w:r>
        <w:rPr>
          <w:rFonts w:ascii="Calibri" w:cs="Calibri" w:eastAsia="Calibri" w:hAnsi="Calibri"/>
          <w:b w:val="false"/>
          <w:bCs w:val="false"/>
          <w:i w:val="false"/>
          <w:iCs w:val="false"/>
          <w:sz w:val="22"/>
          <w:szCs w:val="22"/>
        </w:rPr>
        <w:t xml:space="preserve">Every Malaysian jurisdiction with a satellite-confirmed data centre facility was checked individually against its EIA or equivalent prescribed-activities framework: the federal Environmental Quality Act 1974 Prescribed Activities Order, and the independently governed states of Sarawak (Natural Resources and Environment Board) and Sabah. In every jurisdiction, no dedicated data centre category triggers mandatory environmental review; facilities are captured, if at all, under the same hectare-based thresholds as any other industrial or commercial development.</w:t>
      </w:r>
    </w:p>
    <w:p>
      <w:pPr>
        <w:pStyle w:val="Heading2"/>
        <w:spacing w:after="120" w:before="240"/>
      </w:pPr>
      <w:r>
        <w:t xml:space="preserve">3.2 The cumulative-impact blind spot, quantified</w:t>
      </w:r>
    </w:p>
    <w:p>
      <w:pPr>
        <w:spacing w:after="160"/>
        <w:jc w:val="left"/>
      </w:pPr>
      <w:r>
        <w:rPr>
          <w:rFonts w:ascii="Calibri" w:cs="Calibri" w:eastAsia="Calibri" w:hAnsi="Calibri"/>
          <w:b w:val="false"/>
          <w:bCs w:val="false"/>
          <w:i w:val="false"/>
          <w:iCs w:val="false"/>
          <w:sz w:val="22"/>
          <w:szCs w:val="22"/>
        </w:rPr>
        <w:t xml:space="preserve">Cross-referencing these thresholds against actual parcel sizes observed for Johor data centre developments, typically 1 to 2 acres per facility, surfaced a structural gap: a corridor of individually sub-threshold developments can produce an aggregate land-use impact exceeding the threshold that would apply to a single larger project, without any single facility ever triggering review. A land-cover change analysis, run across 16 valid geographic corridors covering 68 of the project's 71 measured buildings via Hansen Global Forest Change data, quantifies this gap directly: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600"/>
        <w:gridCol w:w="2000"/>
      </w:tblGrid>
      <w:tr>
        <w:tc>
          <w:tcPr>
            <w:tcW w:type="dxa" w:w="2600"/>
            <w:shd w:fill="1F3864" w:val="clear"/>
            <w:vAlign w:val="center"/>
          </w:tcPr>
          <w:p>
            <w:r>
              <w:rPr>
                <w:rFonts w:ascii="Calibri" w:cs="Calibri" w:eastAsia="Calibri" w:hAnsi="Calibri"/>
                <w:b/>
                <w:bCs/>
                <w:color w:val="FFFFFF"/>
                <w:sz w:val="19"/>
                <w:szCs w:val="19"/>
              </w:rPr>
              <w:t xml:space="preserve">Corridor</w:t>
            </w:r>
          </w:p>
        </w:tc>
        <w:tc>
          <w:tcPr>
            <w:tcW w:type="dxa" w:w="1400"/>
            <w:shd w:fill="1F3864" w:val="clear"/>
            <w:vAlign w:val="center"/>
          </w:tcPr>
          <w:p>
            <w:r>
              <w:rPr>
                <w:rFonts w:ascii="Calibri" w:cs="Calibri" w:eastAsia="Calibri" w:hAnsi="Calibri"/>
                <w:b/>
                <w:bCs/>
                <w:color w:val="FFFFFF"/>
                <w:sz w:val="19"/>
                <w:szCs w:val="19"/>
              </w:rPr>
              <w:t xml:space="preserve">Buildings</w:t>
            </w:r>
          </w:p>
        </w:tc>
        <w:tc>
          <w:tcPr>
            <w:tcW w:type="dxa" w:w="1600"/>
            <w:shd w:fill="1F3864" w:val="clear"/>
            <w:vAlign w:val="center"/>
          </w:tcPr>
          <w:p>
            <w:r>
              <w:rPr>
                <w:rFonts w:ascii="Calibri" w:cs="Calibri" w:eastAsia="Calibri" w:hAnsi="Calibri"/>
                <w:b/>
                <w:bCs/>
                <w:color w:val="FFFFFF"/>
                <w:sz w:val="19"/>
                <w:szCs w:val="19"/>
              </w:rPr>
              <w:t xml:space="preserve">AOI (ha)</w:t>
            </w:r>
          </w:p>
        </w:tc>
        <w:tc>
          <w:tcPr>
            <w:tcW w:type="dxa" w:w="1600"/>
            <w:shd w:fill="1F3864" w:val="clear"/>
            <w:vAlign w:val="center"/>
          </w:tcPr>
          <w:p>
            <w:r>
              <w:rPr>
                <w:rFonts w:ascii="Calibri" w:cs="Calibri" w:eastAsia="Calibri" w:hAnsi="Calibri"/>
                <w:b/>
                <w:bCs/>
                <w:color w:val="FFFFFF"/>
                <w:sz w:val="19"/>
                <w:szCs w:val="19"/>
              </w:rPr>
              <w:t xml:space="preserve">Loss (ha)</w:t>
            </w:r>
          </w:p>
        </w:tc>
        <w:tc>
          <w:tcPr>
            <w:tcW w:type="dxa" w:w="2000"/>
            <w:shd w:fill="1F3864" w:val="clear"/>
            <w:vAlign w:val="center"/>
          </w:tcPr>
          <w:p>
            <w:r>
              <w:rPr>
                <w:rFonts w:ascii="Calibri" w:cs="Calibri" w:eastAsia="Calibri" w:hAnsi="Calibri"/>
                <w:b/>
                <w:bCs/>
                <w:color w:val="FFFFFF"/>
                <w:sz w:val="19"/>
                <w:szCs w:val="19"/>
              </w:rPr>
              <w:t xml:space="preserve">Loss (% of 2000 baseline)</w:t>
            </w:r>
          </w:p>
        </w:tc>
      </w:tr>
      <w:tr>
        <w:tc>
          <w:tcPr>
            <w:tcW w:type="dxa" w:w="2600"/>
            <w:vAlign w:val="center"/>
          </w:tcPr>
          <w:p>
            <w:r>
              <w:rPr>
                <w:rFonts w:ascii="Calibri" w:cs="Calibri" w:eastAsia="Calibri" w:hAnsi="Calibri"/>
                <w:b w:val="false"/>
                <w:bCs w:val="false"/>
                <w:color w:val="000000"/>
                <w:sz w:val="19"/>
                <w:szCs w:val="19"/>
              </w:rPr>
              <w:t xml:space="preserve">Cyberjaya</w:t>
            </w:r>
          </w:p>
        </w:tc>
        <w:tc>
          <w:tcPr>
            <w:tcW w:type="dxa" w:w="1400"/>
            <w:vAlign w:val="center"/>
          </w:tcPr>
          <w:p>
            <w:r>
              <w:rPr>
                <w:rFonts w:ascii="Calibri" w:cs="Calibri" w:eastAsia="Calibri" w:hAnsi="Calibri"/>
                <w:b w:val="false"/>
                <w:bCs w:val="false"/>
                <w:color w:val="000000"/>
                <w:sz w:val="19"/>
                <w:szCs w:val="19"/>
              </w:rPr>
              <w:t xml:space="preserve">18</w:t>
            </w:r>
          </w:p>
        </w:tc>
        <w:tc>
          <w:tcPr>
            <w:tcW w:type="dxa" w:w="1600"/>
            <w:vAlign w:val="center"/>
          </w:tcPr>
          <w:p>
            <w:r>
              <w:rPr>
                <w:rFonts w:ascii="Calibri" w:cs="Calibri" w:eastAsia="Calibri" w:hAnsi="Calibri"/>
                <w:b w:val="false"/>
                <w:bCs w:val="false"/>
                <w:color w:val="000000"/>
                <w:sz w:val="19"/>
                <w:szCs w:val="19"/>
              </w:rPr>
              <w:t xml:space="preserve">572.85</w:t>
            </w:r>
          </w:p>
        </w:tc>
        <w:tc>
          <w:tcPr>
            <w:tcW w:type="dxa" w:w="1600"/>
            <w:vAlign w:val="center"/>
          </w:tcPr>
          <w:p>
            <w:r>
              <w:rPr>
                <w:rFonts w:ascii="Calibri" w:cs="Calibri" w:eastAsia="Calibri" w:hAnsi="Calibri"/>
                <w:b w:val="false"/>
                <w:bCs w:val="false"/>
                <w:color w:val="000000"/>
                <w:sz w:val="19"/>
                <w:szCs w:val="19"/>
              </w:rPr>
              <w:t xml:space="preserve">100</w:t>
            </w:r>
          </w:p>
        </w:tc>
        <w:tc>
          <w:tcPr>
            <w:tcW w:type="dxa" w:w="2000"/>
            <w:vAlign w:val="center"/>
          </w:tcPr>
          <w:p>
            <w:r>
              <w:rPr>
                <w:rFonts w:ascii="Calibri" w:cs="Calibri" w:eastAsia="Calibri" w:hAnsi="Calibri"/>
                <w:b w:val="false"/>
                <w:bCs w:val="false"/>
                <w:color w:val="000000"/>
                <w:sz w:val="19"/>
                <w:szCs w:val="19"/>
              </w:rPr>
              <w:t xml:space="preserve">77%</w:t>
            </w:r>
          </w:p>
        </w:tc>
      </w:tr>
      <w:tr>
        <w:tc>
          <w:tcPr>
            <w:tcW w:type="dxa" w:w="2600"/>
            <w:vAlign w:val="center"/>
          </w:tcPr>
          <w:p>
            <w:r>
              <w:rPr>
                <w:rFonts w:ascii="Calibri" w:cs="Calibri" w:eastAsia="Calibri" w:hAnsi="Calibri"/>
                <w:b w:val="false"/>
                <w:bCs w:val="false"/>
                <w:color w:val="000000"/>
                <w:sz w:val="19"/>
                <w:szCs w:val="19"/>
              </w:rPr>
              <w:t xml:space="preserve">KL Bangsar/Damansara</w:t>
            </w:r>
          </w:p>
        </w:tc>
        <w:tc>
          <w:tcPr>
            <w:tcW w:type="dxa" w:w="1400"/>
            <w:vAlign w:val="center"/>
          </w:tcPr>
          <w:p>
            <w:r>
              <w:rPr>
                <w:rFonts w:ascii="Calibri" w:cs="Calibri" w:eastAsia="Calibri" w:hAnsi="Calibri"/>
                <w:b w:val="false"/>
                <w:bCs w:val="false"/>
                <w:color w:val="000000"/>
                <w:sz w:val="19"/>
                <w:szCs w:val="19"/>
              </w:rPr>
              <w:t xml:space="preserve">13</w:t>
            </w:r>
          </w:p>
        </w:tc>
        <w:tc>
          <w:tcPr>
            <w:tcW w:type="dxa" w:w="1600"/>
            <w:vAlign w:val="center"/>
          </w:tcPr>
          <w:p>
            <w:r>
              <w:rPr>
                <w:rFonts w:ascii="Calibri" w:cs="Calibri" w:eastAsia="Calibri" w:hAnsi="Calibri"/>
                <w:b w:val="false"/>
                <w:bCs w:val="false"/>
                <w:color w:val="000000"/>
                <w:sz w:val="19"/>
                <w:szCs w:val="19"/>
              </w:rPr>
              <w:t xml:space="preserve">4330.00</w:t>
            </w:r>
          </w:p>
        </w:tc>
        <w:tc>
          <w:tcPr>
            <w:tcW w:type="dxa" w:w="1600"/>
            <w:vAlign w:val="center"/>
          </w:tcPr>
          <w:p>
            <w:r>
              <w:rPr>
                <w:rFonts w:ascii="Calibri" w:cs="Calibri" w:eastAsia="Calibri" w:hAnsi="Calibri"/>
                <w:b w:val="false"/>
                <w:bCs w:val="false"/>
                <w:color w:val="000000"/>
                <w:sz w:val="19"/>
                <w:szCs w:val="19"/>
              </w:rPr>
              <w:t xml:space="preserve">120</w:t>
            </w:r>
          </w:p>
        </w:tc>
        <w:tc>
          <w:tcPr>
            <w:tcW w:type="dxa" w:w="2000"/>
            <w:vAlign w:val="center"/>
          </w:tcPr>
          <w:p>
            <w:r>
              <w:rPr>
                <w:rFonts w:ascii="Calibri" w:cs="Calibri" w:eastAsia="Calibri" w:hAnsi="Calibri"/>
                <w:b w:val="false"/>
                <w:bCs w:val="false"/>
                <w:color w:val="000000"/>
                <w:sz w:val="19"/>
                <w:szCs w:val="19"/>
              </w:rPr>
              <w:t xml:space="preserve">11%</w:t>
            </w:r>
          </w:p>
        </w:tc>
      </w:tr>
      <w:tr>
        <w:tc>
          <w:tcPr>
            <w:tcW w:type="dxa" w:w="2600"/>
            <w:vAlign w:val="center"/>
          </w:tcPr>
          <w:p>
            <w:r>
              <w:rPr>
                <w:rFonts w:ascii="Calibri" w:cs="Calibri" w:eastAsia="Calibri" w:hAnsi="Calibri"/>
                <w:b w:val="false"/>
                <w:bCs w:val="false"/>
                <w:color w:val="000000"/>
                <w:sz w:val="19"/>
                <w:szCs w:val="19"/>
              </w:rPr>
              <w:t xml:space="preserve">Nusajaya/Iskandar Puteri</w:t>
            </w:r>
          </w:p>
        </w:tc>
        <w:tc>
          <w:tcPr>
            <w:tcW w:type="dxa" w:w="1400"/>
            <w:vAlign w:val="center"/>
          </w:tcPr>
          <w:p>
            <w:r>
              <w:rPr>
                <w:rFonts w:ascii="Calibri" w:cs="Calibri" w:eastAsia="Calibri" w:hAnsi="Calibri"/>
                <w:b w:val="false"/>
                <w:bCs w:val="false"/>
                <w:color w:val="000000"/>
                <w:sz w:val="19"/>
                <w:szCs w:val="19"/>
              </w:rPr>
              <w:t xml:space="preserve">11</w:t>
            </w:r>
          </w:p>
        </w:tc>
        <w:tc>
          <w:tcPr>
            <w:tcW w:type="dxa" w:w="1600"/>
            <w:vAlign w:val="center"/>
          </w:tcPr>
          <w:p>
            <w:r>
              <w:rPr>
                <w:rFonts w:ascii="Calibri" w:cs="Calibri" w:eastAsia="Calibri" w:hAnsi="Calibri"/>
                <w:b w:val="false"/>
                <w:bCs w:val="false"/>
                <w:color w:val="000000"/>
                <w:sz w:val="19"/>
                <w:szCs w:val="19"/>
              </w:rPr>
              <w:t xml:space="preserve">1650.00</w:t>
            </w:r>
          </w:p>
        </w:tc>
        <w:tc>
          <w:tcPr>
            <w:tcW w:type="dxa" w:w="1600"/>
            <w:vAlign w:val="center"/>
          </w:tcPr>
          <w:p>
            <w:r>
              <w:rPr>
                <w:rFonts w:ascii="Calibri" w:cs="Calibri" w:eastAsia="Calibri" w:hAnsi="Calibri"/>
                <w:b w:val="false"/>
                <w:bCs w:val="false"/>
                <w:color w:val="000000"/>
                <w:sz w:val="19"/>
                <w:szCs w:val="19"/>
              </w:rPr>
              <w:t xml:space="preserve">660</w:t>
            </w:r>
          </w:p>
        </w:tc>
        <w:tc>
          <w:tcPr>
            <w:tcW w:type="dxa" w:w="2000"/>
            <w:vAlign w:val="center"/>
          </w:tcPr>
          <w:p>
            <w:r>
              <w:rPr>
                <w:rFonts w:ascii="Calibri" w:cs="Calibri" w:eastAsia="Calibri" w:hAnsi="Calibri"/>
                <w:b w:val="false"/>
                <w:bCs w:val="false"/>
                <w:color w:val="000000"/>
                <w:sz w:val="19"/>
                <w:szCs w:val="19"/>
              </w:rPr>
              <w:t xml:space="preserve">71%</w:t>
            </w:r>
          </w:p>
        </w:tc>
      </w:tr>
      <w:tr>
        <w:tc>
          <w:tcPr>
            <w:tcW w:type="dxa" w:w="2600"/>
            <w:vAlign w:val="center"/>
          </w:tcPr>
          <w:p>
            <w:r>
              <w:rPr>
                <w:rFonts w:ascii="Calibri" w:cs="Calibri" w:eastAsia="Calibri" w:hAnsi="Calibri"/>
                <w:b w:val="false"/>
                <w:bCs w:val="false"/>
                <w:color w:val="000000"/>
                <w:sz w:val="19"/>
                <w:szCs w:val="19"/>
              </w:rPr>
              <w:t xml:space="preserve">Sedenak</w:t>
            </w:r>
          </w:p>
        </w:tc>
        <w:tc>
          <w:tcPr>
            <w:tcW w:type="dxa" w:w="1400"/>
            <w:vAlign w:val="center"/>
          </w:tcPr>
          <w:p>
            <w:r>
              <w:rPr>
                <w:rFonts w:ascii="Calibri" w:cs="Calibri" w:eastAsia="Calibri" w:hAnsi="Calibri"/>
                <w:b w:val="false"/>
                <w:bCs w:val="false"/>
                <w:color w:val="000000"/>
                <w:sz w:val="19"/>
                <w:szCs w:val="19"/>
              </w:rPr>
              <w:t xml:space="preserve">5</w:t>
            </w:r>
          </w:p>
        </w:tc>
        <w:tc>
          <w:tcPr>
            <w:tcW w:type="dxa" w:w="1600"/>
            <w:vAlign w:val="center"/>
          </w:tcPr>
          <w:p>
            <w:r>
              <w:rPr>
                <w:rFonts w:ascii="Calibri" w:cs="Calibri" w:eastAsia="Calibri" w:hAnsi="Calibri"/>
                <w:b w:val="false"/>
                <w:bCs w:val="false"/>
                <w:color w:val="000000"/>
                <w:sz w:val="19"/>
                <w:szCs w:val="19"/>
              </w:rPr>
              <w:t xml:space="preserve">536.30</w:t>
            </w:r>
          </w:p>
        </w:tc>
        <w:tc>
          <w:tcPr>
            <w:tcW w:type="dxa" w:w="1600"/>
            <w:vAlign w:val="center"/>
          </w:tcPr>
          <w:p>
            <w:r>
              <w:rPr>
                <w:rFonts w:ascii="Calibri" w:cs="Calibri" w:eastAsia="Calibri" w:hAnsi="Calibri"/>
                <w:b w:val="false"/>
                <w:bCs w:val="false"/>
                <w:color w:val="000000"/>
                <w:sz w:val="19"/>
                <w:szCs w:val="19"/>
              </w:rPr>
              <w:t xml:space="preserve">210</w:t>
            </w:r>
          </w:p>
        </w:tc>
        <w:tc>
          <w:tcPr>
            <w:tcW w:type="dxa" w:w="2000"/>
            <w:vAlign w:val="center"/>
          </w:tcPr>
          <w:p>
            <w:r>
              <w:rPr>
                <w:rFonts w:ascii="Calibri" w:cs="Calibri" w:eastAsia="Calibri" w:hAnsi="Calibri"/>
                <w:b w:val="false"/>
                <w:bCs w:val="false"/>
                <w:color w:val="000000"/>
                <w:sz w:val="19"/>
                <w:szCs w:val="19"/>
              </w:rPr>
              <w:t xml:space="preserve">67% (54 ha gain, 2000-2020)</w:t>
            </w:r>
          </w:p>
        </w:tc>
      </w:tr>
      <w:tr>
        <w:tc>
          <w:tcPr>
            <w:tcW w:type="dxa" w:w="2600"/>
            <w:vAlign w:val="center"/>
          </w:tcPr>
          <w:p>
            <w:r>
              <w:rPr>
                <w:rFonts w:ascii="Calibri" w:cs="Calibri" w:eastAsia="Calibri" w:hAnsi="Calibri"/>
                <w:b w:val="false"/>
                <w:bCs w:val="false"/>
                <w:color w:val="000000"/>
                <w:sz w:val="19"/>
                <w:szCs w:val="19"/>
              </w:rPr>
              <w:t xml:space="preserve">Penang (PE1/PE2/Exabytes)</w:t>
            </w:r>
          </w:p>
        </w:tc>
        <w:tc>
          <w:tcPr>
            <w:tcW w:type="dxa" w:w="1400"/>
            <w:vAlign w:val="center"/>
          </w:tcPr>
          <w:p>
            <w:r>
              <w:rPr>
                <w:rFonts w:ascii="Calibri" w:cs="Calibri" w:eastAsia="Calibri" w:hAnsi="Calibri"/>
                <w:b w:val="false"/>
                <w:bCs w:val="false"/>
                <w:color w:val="000000"/>
                <w:sz w:val="19"/>
                <w:szCs w:val="19"/>
              </w:rPr>
              <w:t xml:space="preserve">3</w:t>
            </w:r>
          </w:p>
        </w:tc>
        <w:tc>
          <w:tcPr>
            <w:tcW w:type="dxa" w:w="1600"/>
            <w:vAlign w:val="center"/>
          </w:tcPr>
          <w:p>
            <w:r>
              <w:rPr>
                <w:rFonts w:ascii="Calibri" w:cs="Calibri" w:eastAsia="Calibri" w:hAnsi="Calibri"/>
                <w:b w:val="false"/>
                <w:bCs w:val="false"/>
                <w:color w:val="000000"/>
                <w:sz w:val="19"/>
                <w:szCs w:val="19"/>
              </w:rPr>
              <w:t xml:space="preserve">462.53</w:t>
            </w:r>
          </w:p>
        </w:tc>
        <w:tc>
          <w:tcPr>
            <w:tcW w:type="dxa" w:w="1600"/>
            <w:vAlign w:val="center"/>
          </w:tcPr>
          <w:p>
            <w:r>
              <w:rPr>
                <w:rFonts w:ascii="Calibri" w:cs="Calibri" w:eastAsia="Calibri" w:hAnsi="Calibri"/>
                <w:b w:val="false"/>
                <w:bCs w:val="false"/>
                <w:color w:val="000000"/>
                <w:sz w:val="19"/>
                <w:szCs w:val="19"/>
              </w:rPr>
              <w:t xml:space="preserve">5.0</w:t>
            </w:r>
          </w:p>
        </w:tc>
        <w:tc>
          <w:tcPr>
            <w:tcW w:type="dxa" w:w="2000"/>
            <w:vAlign w:val="center"/>
          </w:tcPr>
          <w:p>
            <w:r>
              <w:rPr>
                <w:rFonts w:ascii="Calibri" w:cs="Calibri" w:eastAsia="Calibri" w:hAnsi="Calibri"/>
                <w:b w:val="false"/>
                <w:bCs w:val="false"/>
                <w:color w:val="000000"/>
                <w:sz w:val="19"/>
                <w:szCs w:val="19"/>
              </w:rPr>
              <w:t xml:space="preserve">15%</w:t>
            </w:r>
          </w:p>
        </w:tc>
      </w:tr>
      <w:tr>
        <w:tc>
          <w:tcPr>
            <w:tcW w:type="dxa" w:w="2600"/>
            <w:vAlign w:val="center"/>
          </w:tcPr>
          <w:p>
            <w:r>
              <w:rPr>
                <w:rFonts w:ascii="Calibri" w:cs="Calibri" w:eastAsia="Calibri" w:hAnsi="Calibri"/>
                <w:b w:val="false"/>
                <w:bCs w:val="false"/>
                <w:color w:val="000000"/>
                <w:sz w:val="19"/>
                <w:szCs w:val="19"/>
              </w:rPr>
              <w:t xml:space="preserve">YTL Kulai</w:t>
            </w:r>
          </w:p>
        </w:tc>
        <w:tc>
          <w:tcPr>
            <w:tcW w:type="dxa" w:w="1400"/>
            <w:vAlign w:val="center"/>
          </w:tcPr>
          <w:p>
            <w:r>
              <w:rPr>
                <w:rFonts w:ascii="Calibri" w:cs="Calibri" w:eastAsia="Calibri" w:hAnsi="Calibri"/>
                <w:b w:val="false"/>
                <w:bCs w:val="false"/>
                <w:color w:val="000000"/>
                <w:sz w:val="19"/>
                <w:szCs w:val="19"/>
              </w:rPr>
              <w:t xml:space="preserve">3</w:t>
            </w:r>
          </w:p>
        </w:tc>
        <w:tc>
          <w:tcPr>
            <w:tcW w:type="dxa" w:w="1600"/>
            <w:vAlign w:val="center"/>
          </w:tcPr>
          <w:p>
            <w:r>
              <w:rPr>
                <w:rFonts w:ascii="Calibri" w:cs="Calibri" w:eastAsia="Calibri" w:hAnsi="Calibri"/>
                <w:b w:val="false"/>
                <w:bCs w:val="false"/>
                <w:color w:val="000000"/>
                <w:sz w:val="19"/>
                <w:szCs w:val="19"/>
              </w:rPr>
              <w:t xml:space="preserve">105.75</w:t>
            </w:r>
          </w:p>
        </w:tc>
        <w:tc>
          <w:tcPr>
            <w:tcW w:type="dxa" w:w="1600"/>
            <w:vAlign w:val="center"/>
          </w:tcPr>
          <w:p>
            <w:r>
              <w:rPr>
                <w:rFonts w:ascii="Calibri" w:cs="Calibri" w:eastAsia="Calibri" w:hAnsi="Calibri"/>
                <w:b w:val="false"/>
                <w:bCs w:val="false"/>
                <w:color w:val="000000"/>
                <w:sz w:val="19"/>
                <w:szCs w:val="19"/>
              </w:rPr>
              <w:t xml:space="preserve">100</w:t>
            </w:r>
          </w:p>
        </w:tc>
        <w:tc>
          <w:tcPr>
            <w:tcW w:type="dxa" w:w="2000"/>
            <w:vAlign w:val="center"/>
          </w:tcPr>
          <w:p>
            <w:r>
              <w:rPr>
                <w:rFonts w:ascii="Calibri" w:cs="Calibri" w:eastAsia="Calibri" w:hAnsi="Calibri"/>
                <w:b w:val="false"/>
                <w:bCs w:val="false"/>
                <w:color w:val="000000"/>
                <w:sz w:val="19"/>
                <w:szCs w:val="19"/>
              </w:rPr>
              <w:t xml:space="preserve">97%</w:t>
            </w:r>
          </w:p>
        </w:tc>
      </w:tr>
      <w:tr>
        <w:tc>
          <w:tcPr>
            <w:tcW w:type="dxa" w:w="2600"/>
            <w:vAlign w:val="center"/>
          </w:tcPr>
          <w:p>
            <w:r>
              <w:rPr>
                <w:rFonts w:ascii="Calibri" w:cs="Calibri" w:eastAsia="Calibri" w:hAnsi="Calibri"/>
                <w:b w:val="false"/>
                <w:bCs w:val="false"/>
                <w:color w:val="000000"/>
                <w:sz w:val="19"/>
                <w:szCs w:val="19"/>
              </w:rPr>
              <w:t xml:space="preserve">Shah Alam i-City</w:t>
            </w:r>
          </w:p>
        </w:tc>
        <w:tc>
          <w:tcPr>
            <w:tcW w:type="dxa" w:w="1400"/>
            <w:vAlign w:val="center"/>
          </w:tcPr>
          <w:p>
            <w:r>
              <w:rPr>
                <w:rFonts w:ascii="Calibri" w:cs="Calibri" w:eastAsia="Calibri" w:hAnsi="Calibri"/>
                <w:b w:val="false"/>
                <w:bCs w:val="false"/>
                <w:color w:val="000000"/>
                <w:sz w:val="19"/>
                <w:szCs w:val="19"/>
              </w:rPr>
              <w:t xml:space="preserve">3</w:t>
            </w:r>
          </w:p>
        </w:tc>
        <w:tc>
          <w:tcPr>
            <w:tcW w:type="dxa" w:w="1600"/>
            <w:vAlign w:val="center"/>
          </w:tcPr>
          <w:p>
            <w:r>
              <w:rPr>
                <w:rFonts w:ascii="Calibri" w:cs="Calibri" w:eastAsia="Calibri" w:hAnsi="Calibri"/>
                <w:b w:val="false"/>
                <w:bCs w:val="false"/>
                <w:color w:val="000000"/>
                <w:sz w:val="19"/>
                <w:szCs w:val="19"/>
              </w:rPr>
              <w:t xml:space="preserve">116.29</w:t>
            </w:r>
          </w:p>
        </w:tc>
        <w:tc>
          <w:tcPr>
            <w:tcW w:type="dxa" w:w="1600"/>
            <w:vAlign w:val="center"/>
          </w:tcPr>
          <w:p>
            <w:r>
              <w:rPr>
                <w:rFonts w:ascii="Calibri" w:cs="Calibri" w:eastAsia="Calibri" w:hAnsi="Calibri"/>
                <w:b w:val="false"/>
                <w:bCs w:val="false"/>
                <w:color w:val="000000"/>
                <w:sz w:val="19"/>
                <w:szCs w:val="19"/>
              </w:rPr>
              <w:t xml:space="preserve">2.0</w:t>
            </w:r>
          </w:p>
        </w:tc>
        <w:tc>
          <w:tcPr>
            <w:tcW w:type="dxa" w:w="2000"/>
            <w:vAlign w:val="center"/>
          </w:tcPr>
          <w:p>
            <w:r>
              <w:rPr>
                <w:rFonts w:ascii="Calibri" w:cs="Calibri" w:eastAsia="Calibri" w:hAnsi="Calibri"/>
                <w:b w:val="false"/>
                <w:bCs w:val="false"/>
                <w:color w:val="000000"/>
                <w:sz w:val="19"/>
                <w:szCs w:val="19"/>
              </w:rPr>
              <w:t xml:space="preserve">48%</w:t>
            </w:r>
          </w:p>
        </w:tc>
      </w:tr>
      <w:tr>
        <w:tc>
          <w:tcPr>
            <w:tcW w:type="dxa" w:w="2600"/>
            <w:vAlign w:val="center"/>
          </w:tcPr>
          <w:p>
            <w:r>
              <w:rPr>
                <w:rFonts w:ascii="Calibri" w:cs="Calibri" w:eastAsia="Calibri" w:hAnsi="Calibri"/>
                <w:b w:val="false"/>
                <w:bCs w:val="false"/>
                <w:color w:val="000000"/>
                <w:sz w:val="19"/>
                <w:szCs w:val="19"/>
              </w:rPr>
              <w:t xml:space="preserve">Nilai/Labu</w:t>
            </w:r>
          </w:p>
        </w:tc>
        <w:tc>
          <w:tcPr>
            <w:tcW w:type="dxa" w:w="1400"/>
            <w:vAlign w:val="center"/>
          </w:tcPr>
          <w:p>
            <w:r>
              <w:rPr>
                <w:rFonts w:ascii="Calibri" w:cs="Calibri" w:eastAsia="Calibri" w:hAnsi="Calibri"/>
                <w:b w:val="false"/>
                <w:bCs w:val="false"/>
                <w:color w:val="000000"/>
                <w:sz w:val="19"/>
                <w:szCs w:val="19"/>
              </w:rPr>
              <w:t xml:space="preserve">2</w:t>
            </w:r>
          </w:p>
        </w:tc>
        <w:tc>
          <w:tcPr>
            <w:tcW w:type="dxa" w:w="1600"/>
            <w:vAlign w:val="center"/>
          </w:tcPr>
          <w:p>
            <w:r>
              <w:rPr>
                <w:rFonts w:ascii="Calibri" w:cs="Calibri" w:eastAsia="Calibri" w:hAnsi="Calibri"/>
                <w:b w:val="false"/>
                <w:bCs w:val="false"/>
                <w:color w:val="000000"/>
                <w:sz w:val="19"/>
                <w:szCs w:val="19"/>
              </w:rPr>
              <w:t xml:space="preserve">107.07</w:t>
            </w:r>
          </w:p>
        </w:tc>
        <w:tc>
          <w:tcPr>
            <w:tcW w:type="dxa" w:w="1600"/>
            <w:vAlign w:val="center"/>
          </w:tcPr>
          <w:p>
            <w:r>
              <w:rPr>
                <w:rFonts w:ascii="Calibri" w:cs="Calibri" w:eastAsia="Calibri" w:hAnsi="Calibri"/>
                <w:b w:val="false"/>
                <w:bCs w:val="false"/>
                <w:color w:val="000000"/>
                <w:sz w:val="19"/>
                <w:szCs w:val="19"/>
              </w:rPr>
              <w:t xml:space="preserve">97</w:t>
            </w:r>
          </w:p>
        </w:tc>
        <w:tc>
          <w:tcPr>
            <w:tcW w:type="dxa" w:w="2000"/>
            <w:vAlign w:val="center"/>
          </w:tcPr>
          <w:p>
            <w:r>
              <w:rPr>
                <w:rFonts w:ascii="Calibri" w:cs="Calibri" w:eastAsia="Calibri" w:hAnsi="Calibri"/>
                <w:b w:val="false"/>
                <w:bCs w:val="false"/>
                <w:color w:val="000000"/>
                <w:sz w:val="19"/>
                <w:szCs w:val="19"/>
              </w:rPr>
              <w:t xml:space="preserve">96%</w:t>
            </w:r>
          </w:p>
        </w:tc>
      </w:tr>
      <w:tr>
        <w:tc>
          <w:tcPr>
            <w:tcW w:type="dxa" w:w="2600"/>
            <w:vAlign w:val="center"/>
          </w:tcPr>
          <w:p>
            <w:r>
              <w:rPr>
                <w:rFonts w:ascii="Calibri" w:cs="Calibri" w:eastAsia="Calibri" w:hAnsi="Calibri"/>
                <w:b w:val="false"/>
                <w:bCs w:val="false"/>
                <w:color w:val="000000"/>
                <w:sz w:val="19"/>
                <w:szCs w:val="19"/>
              </w:rPr>
              <w:t xml:space="preserve">Kedah SBEZ</w:t>
            </w:r>
          </w:p>
        </w:tc>
        <w:tc>
          <w:tcPr>
            <w:tcW w:type="dxa" w:w="1400"/>
            <w:vAlign w:val="center"/>
          </w:tcPr>
          <w:p>
            <w:r>
              <w:rPr>
                <w:rFonts w:ascii="Calibri" w:cs="Calibri" w:eastAsia="Calibri" w:hAnsi="Calibri"/>
                <w:b w:val="false"/>
                <w:bCs w:val="false"/>
                <w:color w:val="000000"/>
                <w:sz w:val="19"/>
                <w:szCs w:val="19"/>
              </w:rPr>
              <w:t xml:space="preserve">2</w:t>
            </w:r>
          </w:p>
        </w:tc>
        <w:tc>
          <w:tcPr>
            <w:tcW w:type="dxa" w:w="1600"/>
            <w:vAlign w:val="center"/>
          </w:tcPr>
          <w:p>
            <w:r>
              <w:rPr>
                <w:rFonts w:ascii="Calibri" w:cs="Calibri" w:eastAsia="Calibri" w:hAnsi="Calibri"/>
                <w:b w:val="false"/>
                <w:bCs w:val="false"/>
                <w:color w:val="000000"/>
                <w:sz w:val="19"/>
                <w:szCs w:val="19"/>
              </w:rPr>
              <w:t xml:space="preserve">224.00</w:t>
            </w:r>
          </w:p>
        </w:tc>
        <w:tc>
          <w:tcPr>
            <w:tcW w:type="dxa" w:w="1600"/>
            <w:vAlign w:val="center"/>
          </w:tcPr>
          <w:p>
            <w:r>
              <w:rPr>
                <w:rFonts w:ascii="Calibri" w:cs="Calibri" w:eastAsia="Calibri" w:hAnsi="Calibri"/>
                <w:b w:val="false"/>
                <w:bCs w:val="false"/>
                <w:color w:val="000000"/>
                <w:sz w:val="19"/>
                <w:szCs w:val="19"/>
              </w:rPr>
              <w:t xml:space="preserve">49</w:t>
            </w:r>
          </w:p>
        </w:tc>
        <w:tc>
          <w:tcPr>
            <w:tcW w:type="dxa" w:w="2000"/>
            <w:vAlign w:val="center"/>
          </w:tcPr>
          <w:p>
            <w:r>
              <w:rPr>
                <w:rFonts w:ascii="Calibri" w:cs="Calibri" w:eastAsia="Calibri" w:hAnsi="Calibri"/>
                <w:b w:val="false"/>
                <w:bCs w:val="false"/>
                <w:color w:val="000000"/>
                <w:sz w:val="19"/>
                <w:szCs w:val="19"/>
              </w:rPr>
              <w:t xml:space="preserve">87%</w:t>
            </w:r>
          </w:p>
        </w:tc>
      </w:tr>
      <w:tr>
        <w:tc>
          <w:tcPr>
            <w:tcW w:type="dxa" w:w="2600"/>
            <w:vAlign w:val="center"/>
          </w:tcPr>
          <w:p>
            <w:r>
              <w:rPr>
                <w:rFonts w:ascii="Calibri" w:cs="Calibri" w:eastAsia="Calibri" w:hAnsi="Calibri"/>
                <w:b w:val="false"/>
                <w:bCs w:val="false"/>
                <w:color w:val="000000"/>
                <w:sz w:val="19"/>
                <w:szCs w:val="19"/>
              </w:rPr>
              <w:t xml:space="preserve">VADS Cyberport/Open DC-JB2</w:t>
            </w:r>
          </w:p>
        </w:tc>
        <w:tc>
          <w:tcPr>
            <w:tcW w:type="dxa" w:w="1400"/>
            <w:vAlign w:val="center"/>
          </w:tcPr>
          <w:p>
            <w:r>
              <w:rPr>
                <w:rFonts w:ascii="Calibri" w:cs="Calibri" w:eastAsia="Calibri" w:hAnsi="Calibri"/>
                <w:b w:val="false"/>
                <w:bCs w:val="false"/>
                <w:color w:val="000000"/>
                <w:sz w:val="19"/>
                <w:szCs w:val="19"/>
              </w:rPr>
              <w:t xml:space="preserve">2</w:t>
            </w:r>
          </w:p>
        </w:tc>
        <w:tc>
          <w:tcPr>
            <w:tcW w:type="dxa" w:w="1600"/>
            <w:vAlign w:val="center"/>
          </w:tcPr>
          <w:p>
            <w:r>
              <w:rPr>
                <w:rFonts w:ascii="Calibri" w:cs="Calibri" w:eastAsia="Calibri" w:hAnsi="Calibri"/>
                <w:b w:val="false"/>
                <w:bCs w:val="false"/>
                <w:color w:val="000000"/>
                <w:sz w:val="19"/>
                <w:szCs w:val="19"/>
              </w:rPr>
              <w:t xml:space="preserve">167.12</w:t>
            </w:r>
          </w:p>
        </w:tc>
        <w:tc>
          <w:tcPr>
            <w:tcW w:type="dxa" w:w="1600"/>
            <w:vAlign w:val="center"/>
          </w:tcPr>
          <w:p>
            <w:r>
              <w:rPr>
                <w:rFonts w:ascii="Calibri" w:cs="Calibri" w:eastAsia="Calibri" w:hAnsi="Calibri"/>
                <w:b w:val="false"/>
                <w:bCs w:val="false"/>
                <w:color w:val="000000"/>
                <w:sz w:val="19"/>
                <w:szCs w:val="19"/>
              </w:rPr>
              <w:t xml:space="preserve">&lt;1</w:t>
            </w:r>
          </w:p>
        </w:tc>
        <w:tc>
          <w:tcPr>
            <w:tcW w:type="dxa" w:w="2000"/>
            <w:vAlign w:val="center"/>
          </w:tcPr>
          <w:p>
            <w:r>
              <w:rPr>
                <w:rFonts w:ascii="Calibri" w:cs="Calibri" w:eastAsia="Calibri" w:hAnsi="Calibri"/>
                <w:b w:val="false"/>
                <w:bCs w:val="false"/>
                <w:color w:val="000000"/>
                <w:sz w:val="19"/>
                <w:szCs w:val="19"/>
              </w:rPr>
              <w:t xml:space="preserve">14%</w:t>
            </w:r>
          </w:p>
        </w:tc>
      </w:tr>
      <w:tr>
        <w:tc>
          <w:tcPr>
            <w:tcW w:type="dxa" w:w="2600"/>
            <w:vAlign w:val="center"/>
          </w:tcPr>
          <w:p>
            <w:r>
              <w:rPr>
                <w:rFonts w:ascii="Calibri" w:cs="Calibri" w:eastAsia="Calibri" w:hAnsi="Calibri"/>
                <w:b w:val="false"/>
                <w:bCs w:val="false"/>
                <w:color w:val="000000"/>
                <w:sz w:val="19"/>
                <w:szCs w:val="19"/>
              </w:rPr>
              <w:t xml:space="preserve">MaNaDr Kuching</w:t>
            </w:r>
          </w:p>
        </w:tc>
        <w:tc>
          <w:tcPr>
            <w:tcW w:type="dxa" w:w="1400"/>
            <w:vAlign w:val="center"/>
          </w:tcPr>
          <w:p>
            <w:r>
              <w:rPr>
                <w:rFonts w:ascii="Calibri" w:cs="Calibri" w:eastAsia="Calibri" w:hAnsi="Calibri"/>
                <w:b w:val="false"/>
                <w:bCs w:val="false"/>
                <w:color w:val="000000"/>
                <w:sz w:val="19"/>
                <w:szCs w:val="19"/>
              </w:rPr>
              <w:t xml:space="preserve">1</w:t>
            </w:r>
          </w:p>
        </w:tc>
        <w:tc>
          <w:tcPr>
            <w:tcW w:type="dxa" w:w="1600"/>
            <w:vAlign w:val="center"/>
          </w:tcPr>
          <w:p>
            <w:r>
              <w:rPr>
                <w:rFonts w:ascii="Calibri" w:cs="Calibri" w:eastAsia="Calibri" w:hAnsi="Calibri"/>
                <w:b w:val="false"/>
                <w:bCs w:val="false"/>
                <w:color w:val="000000"/>
                <w:sz w:val="19"/>
                <w:szCs w:val="19"/>
              </w:rPr>
              <w:t xml:space="preserve">105.76</w:t>
            </w:r>
          </w:p>
        </w:tc>
        <w:tc>
          <w:tcPr>
            <w:tcW w:type="dxa" w:w="1600"/>
            <w:vAlign w:val="center"/>
          </w:tcPr>
          <w:p>
            <w:r>
              <w:rPr>
                <w:rFonts w:ascii="Calibri" w:cs="Calibri" w:eastAsia="Calibri" w:hAnsi="Calibri"/>
                <w:b w:val="false"/>
                <w:bCs w:val="false"/>
                <w:color w:val="000000"/>
                <w:sz w:val="19"/>
                <w:szCs w:val="19"/>
              </w:rPr>
              <w:t xml:space="preserve">0</w:t>
            </w:r>
          </w:p>
        </w:tc>
        <w:tc>
          <w:tcPr>
            <w:tcW w:type="dxa" w:w="2000"/>
            <w:vAlign w:val="center"/>
          </w:tcPr>
          <w:p>
            <w:r>
              <w:rPr>
                <w:rFonts w:ascii="Calibri" w:cs="Calibri" w:eastAsia="Calibri" w:hAnsi="Calibri"/>
                <w:b w:val="false"/>
                <w:bCs w:val="false"/>
                <w:color w:val="000000"/>
                <w:sz w:val="19"/>
                <w:szCs w:val="19"/>
              </w:rPr>
              <w:t xml:space="preserve">0%</w:t>
            </w:r>
          </w:p>
        </w:tc>
      </w:tr>
      <w:tr>
        <w:tc>
          <w:tcPr>
            <w:tcW w:type="dxa" w:w="2600"/>
            <w:vAlign w:val="center"/>
          </w:tcPr>
          <w:p>
            <w:r>
              <w:rPr>
                <w:rFonts w:ascii="Calibri" w:cs="Calibri" w:eastAsia="Calibri" w:hAnsi="Calibri"/>
                <w:b w:val="false"/>
                <w:bCs w:val="false"/>
                <w:color w:val="000000"/>
                <w:sz w:val="19"/>
                <w:szCs w:val="19"/>
              </w:rPr>
              <w:t xml:space="preserve">irix Santubong</w:t>
            </w:r>
          </w:p>
        </w:tc>
        <w:tc>
          <w:tcPr>
            <w:tcW w:type="dxa" w:w="1400"/>
            <w:vAlign w:val="center"/>
          </w:tcPr>
          <w:p>
            <w:r>
              <w:rPr>
                <w:rFonts w:ascii="Calibri" w:cs="Calibri" w:eastAsia="Calibri" w:hAnsi="Calibri"/>
                <w:b w:val="false"/>
                <w:bCs w:val="false"/>
                <w:color w:val="000000"/>
                <w:sz w:val="19"/>
                <w:szCs w:val="19"/>
              </w:rPr>
              <w:t xml:space="preserve">1</w:t>
            </w:r>
          </w:p>
        </w:tc>
        <w:tc>
          <w:tcPr>
            <w:tcW w:type="dxa" w:w="1600"/>
            <w:vAlign w:val="center"/>
          </w:tcPr>
          <w:p>
            <w:r>
              <w:rPr>
                <w:rFonts w:ascii="Calibri" w:cs="Calibri" w:eastAsia="Calibri" w:hAnsi="Calibri"/>
                <w:b w:val="false"/>
                <w:bCs w:val="false"/>
                <w:color w:val="000000"/>
                <w:sz w:val="19"/>
                <w:szCs w:val="19"/>
              </w:rPr>
              <w:t xml:space="preserve">105.74</w:t>
            </w:r>
          </w:p>
        </w:tc>
        <w:tc>
          <w:tcPr>
            <w:tcW w:type="dxa" w:w="1600"/>
            <w:vAlign w:val="center"/>
          </w:tcPr>
          <w:p>
            <w:r>
              <w:rPr>
                <w:rFonts w:ascii="Calibri" w:cs="Calibri" w:eastAsia="Calibri" w:hAnsi="Calibri"/>
                <w:b w:val="false"/>
                <w:bCs w:val="false"/>
                <w:color w:val="000000"/>
                <w:sz w:val="19"/>
                <w:szCs w:val="19"/>
              </w:rPr>
              <w:t xml:space="preserve">14</w:t>
            </w:r>
          </w:p>
        </w:tc>
        <w:tc>
          <w:tcPr>
            <w:tcW w:type="dxa" w:w="2000"/>
            <w:vAlign w:val="center"/>
          </w:tcPr>
          <w:p>
            <w:r>
              <w:rPr>
                <w:rFonts w:ascii="Calibri" w:cs="Calibri" w:eastAsia="Calibri" w:hAnsi="Calibri"/>
                <w:b w:val="false"/>
                <w:bCs w:val="false"/>
                <w:color w:val="000000"/>
                <w:sz w:val="19"/>
                <w:szCs w:val="19"/>
              </w:rPr>
              <w:t xml:space="preserve">17%</w:t>
            </w:r>
          </w:p>
        </w:tc>
      </w:tr>
      <w:tr>
        <w:tc>
          <w:tcPr>
            <w:tcW w:type="dxa" w:w="2600"/>
            <w:vAlign w:val="center"/>
          </w:tcPr>
          <w:p>
            <w:r>
              <w:rPr>
                <w:rFonts w:ascii="Calibri" w:cs="Calibri" w:eastAsia="Calibri" w:hAnsi="Calibri"/>
                <w:b w:val="false"/>
                <w:bCs w:val="false"/>
                <w:color w:val="000000"/>
                <w:sz w:val="19"/>
                <w:szCs w:val="19"/>
              </w:rPr>
              <w:t xml:space="preserve">EdgeConneX KL CBD</w:t>
            </w:r>
          </w:p>
        </w:tc>
        <w:tc>
          <w:tcPr>
            <w:tcW w:type="dxa" w:w="1400"/>
            <w:vAlign w:val="center"/>
          </w:tcPr>
          <w:p>
            <w:r>
              <w:rPr>
                <w:rFonts w:ascii="Calibri" w:cs="Calibri" w:eastAsia="Calibri" w:hAnsi="Calibri"/>
                <w:b w:val="false"/>
                <w:bCs w:val="false"/>
                <w:color w:val="000000"/>
                <w:sz w:val="19"/>
                <w:szCs w:val="19"/>
              </w:rPr>
              <w:t xml:space="preserve">1</w:t>
            </w:r>
          </w:p>
        </w:tc>
        <w:tc>
          <w:tcPr>
            <w:tcW w:type="dxa" w:w="1600"/>
            <w:vAlign w:val="center"/>
          </w:tcPr>
          <w:p>
            <w:r>
              <w:rPr>
                <w:rFonts w:ascii="Calibri" w:cs="Calibri" w:eastAsia="Calibri" w:hAnsi="Calibri"/>
                <w:b w:val="false"/>
                <w:bCs w:val="false"/>
                <w:color w:val="000000"/>
                <w:sz w:val="19"/>
                <w:szCs w:val="19"/>
              </w:rPr>
              <w:t xml:space="preserve">105.54</w:t>
            </w:r>
          </w:p>
        </w:tc>
        <w:tc>
          <w:tcPr>
            <w:tcW w:type="dxa" w:w="1600"/>
            <w:vAlign w:val="center"/>
          </w:tcPr>
          <w:p>
            <w:r>
              <w:rPr>
                <w:rFonts w:ascii="Calibri" w:cs="Calibri" w:eastAsia="Calibri" w:hAnsi="Calibri"/>
                <w:b w:val="false"/>
                <w:bCs w:val="false"/>
                <w:color w:val="000000"/>
                <w:sz w:val="19"/>
                <w:szCs w:val="19"/>
              </w:rPr>
              <w:t xml:space="preserve">9.0</w:t>
            </w:r>
          </w:p>
        </w:tc>
        <w:tc>
          <w:tcPr>
            <w:tcW w:type="dxa" w:w="2000"/>
            <w:vAlign w:val="center"/>
          </w:tcPr>
          <w:p>
            <w:r>
              <w:rPr>
                <w:rFonts w:ascii="Calibri" w:cs="Calibri" w:eastAsia="Calibri" w:hAnsi="Calibri"/>
                <w:b w:val="false"/>
                <w:bCs w:val="false"/>
                <w:color w:val="000000"/>
                <w:sz w:val="19"/>
                <w:szCs w:val="19"/>
              </w:rPr>
              <w:t xml:space="preserve">29%</w:t>
            </w:r>
          </w:p>
        </w:tc>
      </w:tr>
      <w:tr>
        <w:tc>
          <w:tcPr>
            <w:tcW w:type="dxa" w:w="2600"/>
            <w:vAlign w:val="center"/>
          </w:tcPr>
          <w:p>
            <w:r>
              <w:rPr>
                <w:rFonts w:ascii="Calibri" w:cs="Calibri" w:eastAsia="Calibri" w:hAnsi="Calibri"/>
                <w:b w:val="false"/>
                <w:bCs w:val="false"/>
                <w:color w:val="000000"/>
                <w:sz w:val="19"/>
                <w:szCs w:val="19"/>
              </w:rPr>
              <w:t xml:space="preserve">Google Elmina Business Park</w:t>
            </w:r>
          </w:p>
        </w:tc>
        <w:tc>
          <w:tcPr>
            <w:tcW w:type="dxa" w:w="1400"/>
            <w:vAlign w:val="center"/>
          </w:tcPr>
          <w:p>
            <w:r>
              <w:rPr>
                <w:rFonts w:ascii="Calibri" w:cs="Calibri" w:eastAsia="Calibri" w:hAnsi="Calibri"/>
                <w:b w:val="false"/>
                <w:bCs w:val="false"/>
                <w:color w:val="000000"/>
                <w:sz w:val="19"/>
                <w:szCs w:val="19"/>
              </w:rPr>
              <w:t xml:space="preserve">1</w:t>
            </w:r>
          </w:p>
        </w:tc>
        <w:tc>
          <w:tcPr>
            <w:tcW w:type="dxa" w:w="1600"/>
            <w:vAlign w:val="center"/>
          </w:tcPr>
          <w:p>
            <w:r>
              <w:rPr>
                <w:rFonts w:ascii="Calibri" w:cs="Calibri" w:eastAsia="Calibri" w:hAnsi="Calibri"/>
                <w:b w:val="false"/>
                <w:bCs w:val="false"/>
                <w:color w:val="000000"/>
                <w:sz w:val="19"/>
                <w:szCs w:val="19"/>
              </w:rPr>
              <w:t xml:space="preserve">105.51</w:t>
            </w:r>
          </w:p>
        </w:tc>
        <w:tc>
          <w:tcPr>
            <w:tcW w:type="dxa" w:w="1600"/>
            <w:vAlign w:val="center"/>
          </w:tcPr>
          <w:p>
            <w:r>
              <w:rPr>
                <w:rFonts w:ascii="Calibri" w:cs="Calibri" w:eastAsia="Calibri" w:hAnsi="Calibri"/>
                <w:b w:val="false"/>
                <w:bCs w:val="false"/>
                <w:color w:val="000000"/>
                <w:sz w:val="19"/>
                <w:szCs w:val="19"/>
              </w:rPr>
              <w:t xml:space="preserve">110</w:t>
            </w:r>
          </w:p>
        </w:tc>
        <w:tc>
          <w:tcPr>
            <w:tcW w:type="dxa" w:w="2000"/>
            <w:vAlign w:val="center"/>
          </w:tcPr>
          <w:p>
            <w:r>
              <w:rPr>
                <w:rFonts w:ascii="Calibri" w:cs="Calibri" w:eastAsia="Calibri" w:hAnsi="Calibri"/>
                <w:b w:val="false"/>
                <w:bCs w:val="false"/>
                <w:color w:val="000000"/>
                <w:sz w:val="19"/>
                <w:szCs w:val="19"/>
              </w:rPr>
              <w:t xml:space="preserve">100%</w:t>
            </w:r>
          </w:p>
        </w:tc>
      </w:tr>
      <w:tr>
        <w:tc>
          <w:tcPr>
            <w:tcW w:type="dxa" w:w="2600"/>
            <w:vAlign w:val="center"/>
          </w:tcPr>
          <w:p>
            <w:r>
              <w:rPr>
                <w:rFonts w:ascii="Calibri" w:cs="Calibri" w:eastAsia="Calibri" w:hAnsi="Calibri"/>
                <w:b w:val="false"/>
                <w:bCs w:val="false"/>
                <w:color w:val="000000"/>
                <w:sz w:val="19"/>
                <w:szCs w:val="19"/>
              </w:rPr>
              <w:t xml:space="preserve">Mah Sing DC Hub Southville</w:t>
            </w:r>
          </w:p>
        </w:tc>
        <w:tc>
          <w:tcPr>
            <w:tcW w:type="dxa" w:w="1400"/>
            <w:vAlign w:val="center"/>
          </w:tcPr>
          <w:p>
            <w:r>
              <w:rPr>
                <w:rFonts w:ascii="Calibri" w:cs="Calibri" w:eastAsia="Calibri" w:hAnsi="Calibri"/>
                <w:b w:val="false"/>
                <w:bCs w:val="false"/>
                <w:color w:val="000000"/>
                <w:sz w:val="19"/>
                <w:szCs w:val="19"/>
              </w:rPr>
              <w:t xml:space="preserve">1</w:t>
            </w:r>
          </w:p>
        </w:tc>
        <w:tc>
          <w:tcPr>
            <w:tcW w:type="dxa" w:w="1600"/>
            <w:vAlign w:val="center"/>
          </w:tcPr>
          <w:p>
            <w:r>
              <w:rPr>
                <w:rFonts w:ascii="Calibri" w:cs="Calibri" w:eastAsia="Calibri" w:hAnsi="Calibri"/>
                <w:b w:val="false"/>
                <w:bCs w:val="false"/>
                <w:color w:val="000000"/>
                <w:sz w:val="19"/>
                <w:szCs w:val="19"/>
              </w:rPr>
              <w:t xml:space="preserve">105.57</w:t>
            </w:r>
          </w:p>
        </w:tc>
        <w:tc>
          <w:tcPr>
            <w:tcW w:type="dxa" w:w="1600"/>
            <w:vAlign w:val="center"/>
          </w:tcPr>
          <w:p>
            <w:r>
              <w:rPr>
                <w:rFonts w:ascii="Calibri" w:cs="Calibri" w:eastAsia="Calibri" w:hAnsi="Calibri"/>
                <w:b w:val="false"/>
                <w:bCs w:val="false"/>
                <w:color w:val="000000"/>
                <w:sz w:val="19"/>
                <w:szCs w:val="19"/>
              </w:rPr>
              <w:t xml:space="preserve">55</w:t>
            </w:r>
          </w:p>
        </w:tc>
        <w:tc>
          <w:tcPr>
            <w:tcW w:type="dxa" w:w="2000"/>
            <w:vAlign w:val="center"/>
          </w:tcPr>
          <w:p>
            <w:r>
              <w:rPr>
                <w:rFonts w:ascii="Calibri" w:cs="Calibri" w:eastAsia="Calibri" w:hAnsi="Calibri"/>
                <w:b w:val="false"/>
                <w:bCs w:val="false"/>
                <w:color w:val="000000"/>
                <w:sz w:val="19"/>
                <w:szCs w:val="19"/>
              </w:rPr>
              <w:t xml:space="preserve">67%</w:t>
            </w:r>
          </w:p>
        </w:tc>
      </w:tr>
      <w:tr>
        <w:tc>
          <w:tcPr>
            <w:tcW w:type="dxa" w:w="2600"/>
            <w:vAlign w:val="center"/>
          </w:tcPr>
          <w:p>
            <w:r>
              <w:rPr>
                <w:rFonts w:ascii="Calibri" w:cs="Calibri" w:eastAsia="Calibri" w:hAnsi="Calibri"/>
                <w:b w:val="false"/>
                <w:bCs w:val="false"/>
                <w:color w:val="000000"/>
                <w:sz w:val="19"/>
                <w:szCs w:val="19"/>
              </w:rPr>
              <w:t xml:space="preserve">DayOne Kempas Tech Park</w:t>
            </w:r>
          </w:p>
        </w:tc>
        <w:tc>
          <w:tcPr>
            <w:tcW w:type="dxa" w:w="1400"/>
            <w:vAlign w:val="center"/>
          </w:tcPr>
          <w:p>
            <w:r>
              <w:rPr>
                <w:rFonts w:ascii="Calibri" w:cs="Calibri" w:eastAsia="Calibri" w:hAnsi="Calibri"/>
                <w:b w:val="false"/>
                <w:bCs w:val="false"/>
                <w:color w:val="000000"/>
                <w:sz w:val="19"/>
                <w:szCs w:val="19"/>
              </w:rPr>
              <w:t xml:space="preserve">1</w:t>
            </w:r>
          </w:p>
        </w:tc>
        <w:tc>
          <w:tcPr>
            <w:tcW w:type="dxa" w:w="1600"/>
            <w:vAlign w:val="center"/>
          </w:tcPr>
          <w:p>
            <w:r>
              <w:rPr>
                <w:rFonts w:ascii="Calibri" w:cs="Calibri" w:eastAsia="Calibri" w:hAnsi="Calibri"/>
                <w:b w:val="false"/>
                <w:bCs w:val="false"/>
                <w:color w:val="000000"/>
                <w:sz w:val="19"/>
                <w:szCs w:val="19"/>
              </w:rPr>
              <w:t xml:space="preserve">105.76</w:t>
            </w:r>
          </w:p>
        </w:tc>
        <w:tc>
          <w:tcPr>
            <w:tcW w:type="dxa" w:w="1600"/>
            <w:vAlign w:val="center"/>
          </w:tcPr>
          <w:p>
            <w:r>
              <w:rPr>
                <w:rFonts w:ascii="Calibri" w:cs="Calibri" w:eastAsia="Calibri" w:hAnsi="Calibri"/>
                <w:b w:val="false"/>
                <w:bCs w:val="false"/>
                <w:color w:val="000000"/>
                <w:sz w:val="19"/>
                <w:szCs w:val="19"/>
              </w:rPr>
              <w:t xml:space="preserve">6.0</w:t>
            </w:r>
          </w:p>
        </w:tc>
        <w:tc>
          <w:tcPr>
            <w:tcW w:type="dxa" w:w="2000"/>
            <w:vAlign w:val="center"/>
          </w:tcPr>
          <w:p>
            <w:r>
              <w:rPr>
                <w:rFonts w:ascii="Calibri" w:cs="Calibri" w:eastAsia="Calibri" w:hAnsi="Calibri"/>
                <w:b w:val="false"/>
                <w:bCs w:val="false"/>
                <w:color w:val="000000"/>
                <w:sz w:val="19"/>
                <w:szCs w:val="19"/>
              </w:rPr>
              <w:t xml:space="preserve">61%</w:t>
            </w:r>
          </w:p>
        </w:tc>
      </w:tr>
    </w:tbl>
    <w:p>
      <w:pPr>
        <w:spacing w:after="160"/>
        <w:jc w:val="left"/>
      </w:pPr>
      <w:r>
        <w:rPr>
          <w:rFonts w:ascii="Calibri" w:cs="Calibri" w:eastAsia="Calibri" w:hAnsi="Calibri"/>
          <w:b w:val="false"/>
          <w:bCs w:val="false"/>
          <w:i w:val="false"/>
          <w:iCs w:val="false"/>
          <w:sz w:val="22"/>
          <w:szCs w:val="22"/>
        </w:rPr>
        <w:t xml:space="preserve">Aggregated across all 16 corridors, combined tree cover loss since 2001 is approximately 1,537.5 hectares (17.3% of combined 2000 baseline, area-weighted). This should be read as an upper bound rather than a validated estimate of development-attributable clearance: several corridors sit on former oil palm estate, and the underlying Hansen canopy definition does not distinguish plantation harvest-and-replant cycling from genuine forest conversion. The pattern is nonetheless informative: purpose-built greenfield campuses show near-total canopy loss within their drawn area of interest (Google Elmina, 100%; YTL Kulai, 97%; Nilai/Labu, 96%), while corridors sited within already-developed urban cores show comparatively low loss (KL Bangsar/Damansara, 11%; VADS Cyberport, 14%; Penang, 15%), consistent with siting on land already cleared before the observation window began.</w:t>
      </w:r>
    </w:p>
    <w:p>
      <w:pPr>
        <w:pStyle w:val="Heading2"/>
        <w:spacing w:after="120" w:before="240"/>
      </w:pPr>
      <w:r>
        <w:t xml:space="preserve">3.3 Legislative silence</w:t>
      </w:r>
    </w:p>
    <w:p>
      <w:pPr>
        <w:spacing w:after="160"/>
        <w:jc w:val="left"/>
      </w:pPr>
      <w:r>
        <w:rPr>
          <w:rFonts w:ascii="Calibri" w:cs="Calibri" w:eastAsia="Calibri" w:hAnsi="Calibri"/>
          <w:b w:val="false"/>
          <w:bCs w:val="false"/>
          <w:i w:val="false"/>
          <w:iCs w:val="false"/>
          <w:sz w:val="22"/>
          <w:szCs w:val="22"/>
        </w:rPr>
        <w:t xml:space="preserve">No sitting in the federal Dewan Rakyat or Johor State Assembly Hansard record (2008-2026) discusses land clearing or deforestation in connection with data centre development. This silence is not a gap in the search, it is a direct, expected consequence of the review-threshold finding above: individual data centre parcels are small enough that no single facility ever generates the regulatory paper trail (an EIA submission, a public consultation, an approval decision) that would put land clearing before a regulator or, in turn, before a legislator. The land-use signal exists and is measurable by satellite; it is simply structurally invisible to the governance and legislative processes that would normally surface it.</w:t>
      </w:r>
    </w:p>
    <w:p>
      <w:pPr>
        <w:pStyle w:val="Heading2"/>
        <w:spacing w:after="120" w:before="240"/>
      </w:pPr>
      <w:r>
        <w:t xml:space="preserve">3.4 Findings from the Hansard record</w:t>
      </w:r>
    </w:p>
    <w:p>
      <w:pPr>
        <w:spacing w:after="160"/>
        <w:jc w:val="left"/>
      </w:pPr>
      <w:r>
        <w:rPr>
          <w:rFonts w:ascii="Calibri" w:cs="Calibri" w:eastAsia="Calibri" w:hAnsi="Calibri"/>
          <w:b w:val="false"/>
          <w:bCs w:val="false"/>
          <w:i w:val="false"/>
          <w:iCs w:val="false"/>
          <w:sz w:val="22"/>
          <w:szCs w:val="22"/>
        </w:rPr>
        <w:t xml:space="preserve">The same triage surfaced two findings not otherwise present in this project's satellite or policy corpus. First, a 2024 federal ministerial admission that several data centre projects had been cancelled and that government policy had shifted toward not actively encouraging new, non-AI-linked data centre projects, citing high energy and water requirements directly, corroborating this project's own resource-strain findings and the separately confirmed November 2025 Johor Tier 1/Tier 2 approval freeze. Second, a government-stated intent to develop an alternative Southeast Asian digital-traffic hub and data centre on a 200-acre site within the Kedah Special Border Economic Zone ("DELAPAN") at Bukit Kayu Hitam, indicating an active state strategy to diversify the sector's geography beyond the currently saturated Johor and Klang Valley corridors.</w:t>
      </w:r>
    </w:p>
    <w:p>
      <w:pPr>
        <w:pStyle w:val="Heading2"/>
        <w:spacing w:after="120" w:before="240"/>
      </w:pPr>
      <w:r>
        <w:t xml:space="preserve">3.5 Investment realisation and the governance timeline mismatch</w:t>
      </w:r>
    </w:p>
    <w:p>
      <w:pPr>
        <w:spacing w:after="160"/>
        <w:jc w:val="left"/>
      </w:pPr>
      <w:r>
        <w:rPr>
          <w:rFonts w:ascii="Calibri" w:cs="Calibri" w:eastAsia="Calibri" w:hAnsi="Calibri"/>
          <w:b w:val="false"/>
          <w:bCs w:val="false"/>
          <w:i w:val="false"/>
          <w:iCs w:val="false"/>
          <w:sz w:val="22"/>
          <w:szCs w:val="22"/>
        </w:rPr>
        <w:t xml:space="preserve">As of the most recent national-level ministerial statement (May 2026), RM280 billion in data centre investment had been pledged nationally against RM131 billion realised, a 47% realisation rate. Malaysia's own data centre-specific governance instruments (PLANMalaysia's Planning Guidelines for Data Centres, October 2024; the MCMC/MTSFB green data centre technical code, also 2024; the National Data Centre Framework, introduced 22 July 2025 and effective that October) were all issued more than four years after the current investment wave began in 2021, meaning the great majority of currently operating and under-construction facilities were sited, approved, and in many cases built before any sector-specific framework existed. None of these instruments, once issued, closed the environmental-review gap described in Section 3.1.</w:t>
      </w:r>
    </w:p>
    <w:p>
      <w:pPr>
        <w:pStyle w:val="Heading1"/>
        <w:spacing w:after="160" w:before="320"/>
      </w:pPr>
      <w:r>
        <w:t xml:space="preserve">4. Comparative Reference: Indonesia</w:t>
      </w:r>
    </w:p>
    <w:p>
      <w:pPr>
        <w:spacing w:after="160"/>
        <w:jc w:val="left"/>
      </w:pPr>
      <w:r>
        <w:rPr>
          <w:rFonts w:ascii="Calibri" w:cs="Calibri" w:eastAsia="Calibri" w:hAnsi="Calibri"/>
          <w:b w:val="false"/>
          <w:bCs w:val="false"/>
          <w:i w:val="false"/>
          <w:iCs w:val="false"/>
          <w:sz w:val="22"/>
          <w:szCs w:val="22"/>
        </w:rPr>
        <w:t xml:space="preserve">A companion desk review examined whether the cumulative-impact blind spot documented above is a Malaysia-specific artefact or a more general feature of area/scale-based environmental review design. Indonesia was selected as the comparator: it operates a broadly similar three-tier environmental document regime (AMDAL / UKL-UPL / SPPL, under Government Regulation 22/2021 and Ministry of Environment and Forestry Regulation 4/2021) and is currently host to the region's most active hyperscale data centre investment wave.</w:t>
      </w:r>
    </w:p>
    <w:p>
      <w:pPr>
        <w:spacing w:after="160"/>
        <w:jc w:val="left"/>
      </w:pPr>
      <w:r>
        <w:rPr>
          <w:rFonts w:ascii="Calibri" w:cs="Calibri" w:eastAsia="Calibri" w:hAnsi="Calibri"/>
          <w:b w:val="false"/>
          <w:bCs w:val="false"/>
          <w:i w:val="false"/>
          <w:iCs w:val="false"/>
          <w:sz w:val="22"/>
          <w:szCs w:val="22"/>
        </w:rPr>
        <w:t xml:space="preserve">The review found the same structural feature present in Indonesia's regulatory architecture: no confirmed data-centre-specific AMDAL trigger category, with computing-infrastructure facilities (KBLI 63102) captured, if at all, under generic land-area or capacity thresholds shared with other industrial and commercial development. The clearest observed difference is scale concentration rather than governance design: Indonesia's current headline investment, a single Nvidia-backed, 360-megawatt AI data centre campus in the Batam Special Economic Zone (announced mid-2026, with a compute partnership running through 2034 and up to USD 30 billion in projected offtake revenue), is a single large parcel more likely to individually cross an area-based AMDAL threshold on its own, unlike Malaysia's more numerous, smaller, and more fragmented facility parcels. This suggests the specific sub-threshold aggregation risk quantified in Section 3.2 may be less acute for Indonesia's largest anchor-tenant projects even as it plausibly remains present for the country's smaller and more numerous facilities, a question the current desk review could not resolve without the same facility-level, corridor-clustered analysis this project applied to Malaysia.</w:t>
      </w:r>
    </w:p>
    <w:p>
      <w:pPr>
        <w:spacing w:after="160"/>
        <w:jc w:val="left"/>
      </w:pPr>
      <w:r>
        <w:rPr>
          <w:rFonts w:ascii="Calibri" w:cs="Calibri" w:eastAsia="Calibri" w:hAnsi="Calibri"/>
          <w:b w:val="false"/>
          <w:bCs w:val="false"/>
          <w:i w:val="false"/>
          <w:iCs w:val="false"/>
          <w:sz w:val="22"/>
          <w:szCs w:val="22"/>
        </w:rPr>
        <w:t xml:space="preserve">The full comparative analysis, including data localisation (Government Regulation 71/2019), the Personal Data Protection Law (UU PDP, Law 27/2022), and KBLI business classification, is presented as a standalone companion document (Comparative Regulatory Desk Review: Indonesia vs Malaysia Data Centre Governance) and is not reproduced in full here.</w:t>
      </w:r>
    </w:p>
    <w:p>
      <w:pPr>
        <w:pStyle w:val="Heading1"/>
        <w:spacing w:after="160" w:before="320"/>
      </w:pPr>
      <w:r>
        <w:t xml:space="preserve">5. Policy Recommendations</w:t>
      </w:r>
    </w:p>
    <w:p>
      <w:pPr>
        <w:spacing w:after="160"/>
        <w:jc w:val="left"/>
      </w:pPr>
      <w:r>
        <w:rPr>
          <w:rFonts w:ascii="Calibri" w:cs="Calibri" w:eastAsia="Calibri" w:hAnsi="Calibri"/>
          <w:b w:val="false"/>
          <w:bCs w:val="false"/>
          <w:i w:val="false"/>
          <w:iCs w:val="false"/>
          <w:sz w:val="22"/>
          <w:szCs w:val="22"/>
        </w:rPr>
        <w:t xml:space="preserve">These recommendations follow directly from Sections 3 and 4 and are addressed to Malaysian federal and state regulators, with the Indonesia comparison offered as evidence that the underlying design problem, not merely its Malaysian instance, is worth addressing structurally rather than through country-specific patchwork.</w:t>
      </w:r>
    </w:p>
    <w:p>
      <w:pPr>
        <w:pStyle w:val="ListParagraph"/>
        <w:numPr>
          <w:ilvl w:val="0"/>
          <w:numId w:val="2"/>
        </w:numPr>
        <w:spacing w:after="80"/>
      </w:pPr>
      <w:r>
        <w:rPr>
          <w:rFonts w:ascii="Calibri" w:cs="Calibri" w:eastAsia="Calibri" w:hAnsi="Calibri"/>
          <w:sz w:val="22"/>
          <w:szCs w:val="22"/>
        </w:rPr>
        <w:t xml:space="preserve">Introduce a corridor- or cluster-level cumulative environmental assessment trigger, alongside the existing per-parcel hectare threshold, so that sequentially developed, individually sub-threshold facilities within a defined geographic radius or shared utility corridor are jointly assessed once their combined footprint crosses the threshold that would apply to a single project of that size. This closes the specific gap documented in Section 3.2 without requiring any change to the existing per-parcel thresholds themselves.</w:t>
      </w:r>
    </w:p>
    <w:p>
      <w:pPr>
        <w:pStyle w:val="ListParagraph"/>
        <w:numPr>
          <w:ilvl w:val="0"/>
          <w:numId w:val="2"/>
        </w:numPr>
        <w:spacing w:after="80"/>
      </w:pPr>
      <w:r>
        <w:rPr>
          <w:rFonts w:ascii="Calibri" w:cs="Calibri" w:eastAsia="Calibri" w:hAnsi="Calibri"/>
          <w:sz w:val="22"/>
          <w:szCs w:val="22"/>
        </w:rPr>
        <w:t xml:space="preserve">Require facility-level disclosure of power and water capacity, even in coarse bands rather than exact figures, as a condition of planning approval or utility connection. This is the single most direct fix to the transparency gap this project was funded to document, and would allow both government agencies and independent researchers to move from modelled, order-of-magnitude estimates to genuine measured accounts.</w:t>
      </w:r>
    </w:p>
    <w:p>
      <w:pPr>
        <w:pStyle w:val="ListParagraph"/>
        <w:numPr>
          <w:ilvl w:val="0"/>
          <w:numId w:val="2"/>
        </w:numPr>
        <w:spacing w:after="80"/>
      </w:pPr>
      <w:r>
        <w:rPr>
          <w:rFonts w:ascii="Calibri" w:cs="Calibri" w:eastAsia="Calibri" w:hAnsi="Calibri"/>
          <w:sz w:val="22"/>
          <w:szCs w:val="22"/>
        </w:rPr>
        <w:t xml:space="preserve">Time-align sector-specific frameworks (of the kind Malaysia introduced in 2024-2025) with the start of major investment waves rather than issuing them retroactively; where a framework is unavoidably retroactive, apply its substantive obligations to existing as well as newly approved facilities rather than grandfathering the majority of the operating base out of coverage.</w:t>
      </w:r>
    </w:p>
    <w:p>
      <w:pPr>
        <w:pStyle w:val="ListParagraph"/>
        <w:numPr>
          <w:ilvl w:val="0"/>
          <w:numId w:val="2"/>
        </w:numPr>
        <w:spacing w:after="80"/>
      </w:pPr>
      <w:r>
        <w:rPr>
          <w:rFonts w:ascii="Calibri" w:cs="Calibri" w:eastAsia="Calibri" w:hAnsi="Calibri"/>
          <w:sz w:val="22"/>
          <w:szCs w:val="22"/>
        </w:rPr>
        <w:t xml:space="preserve">Extend the Hansard-silence finding (Section 3.3) into an explicit disclosure requirement: facilities receiving state investment incentives (Special Economic Zone status, tax holidays) should be required to report land-use and clearance data to the relevant state legislature as a condition of that incentive, closing the specific visibility gap a purely EIA-threshold-based approach cannot reach.</w:t>
      </w:r>
    </w:p>
    <w:p>
      <w:pPr>
        <w:pStyle w:val="ListParagraph"/>
        <w:numPr>
          <w:ilvl w:val="0"/>
          <w:numId w:val="2"/>
        </w:numPr>
        <w:spacing w:after="80"/>
      </w:pPr>
      <w:r>
        <w:rPr>
          <w:rFonts w:ascii="Calibri" w:cs="Calibri" w:eastAsia="Calibri" w:hAnsi="Calibri"/>
          <w:sz w:val="22"/>
          <w:szCs w:val="22"/>
        </w:rPr>
        <w:t xml:space="preserve">For regional and donor audiences: treat the Indonesia comparison as evidence that this is a replicable regulatory design problem across Global South data centre host countries, not a single-country compliance failure, and prioritise technical assistance toward cumulative-impact assessment design over country-by-country enforcement pressure alone.</w:t>
      </w:r>
    </w:p>
    <w:p>
      <w:pPr>
        <w:pStyle w:val="Heading1"/>
        <w:spacing w:after="160" w:before="320"/>
      </w:pPr>
      <w:r>
        <w:t xml:space="preserve">6. Limitations</w:t>
      </w:r>
    </w:p>
    <w:p>
      <w:pPr>
        <w:pStyle w:val="ListParagraph"/>
        <w:numPr>
          <w:ilvl w:val="0"/>
          <w:numId w:val="2"/>
        </w:numPr>
        <w:spacing w:after="80"/>
      </w:pPr>
      <w:r>
        <w:rPr>
          <w:rFonts w:ascii="Calibri" w:cs="Calibri" w:eastAsia="Calibri" w:hAnsi="Calibri"/>
          <w:sz w:val="22"/>
          <w:szCs w:val="22"/>
        </w:rPr>
        <w:t xml:space="preserve">The Hansard search (Section 3.3-3.4) covers only files matching a fixed keyword set within the local corpus and cannot rule out relevant discussion using other terminology, or discussion held in committee records not part of that corpus.</w:t>
      </w:r>
    </w:p>
    <w:p>
      <w:pPr>
        <w:pStyle w:val="ListParagraph"/>
        <w:numPr>
          <w:ilvl w:val="0"/>
          <w:numId w:val="2"/>
        </w:numPr>
        <w:spacing w:after="80"/>
      </w:pPr>
      <w:r>
        <w:rPr>
          <w:rFonts w:ascii="Calibri" w:cs="Calibri" w:eastAsia="Calibri" w:hAnsi="Calibri"/>
          <w:sz w:val="22"/>
          <w:szCs w:val="22"/>
        </w:rPr>
        <w:t xml:space="preserve">The land-cover change figures (Section 3.2) are corridor-level, unscreened upper bounds, not validated estimates of development-attributable forest clearance; see the companion Full Project Methodology, Section 7.4, for the full caveat.</w:t>
      </w:r>
    </w:p>
    <w:p>
      <w:pPr>
        <w:pStyle w:val="ListParagraph"/>
        <w:numPr>
          <w:ilvl w:val="0"/>
          <w:numId w:val="2"/>
        </w:numPr>
        <w:spacing w:after="80"/>
      </w:pPr>
      <w:r>
        <w:rPr>
          <w:rFonts w:ascii="Calibri" w:cs="Calibri" w:eastAsia="Calibri" w:hAnsi="Calibri"/>
          <w:sz w:val="22"/>
          <w:szCs w:val="22"/>
        </w:rPr>
        <w:t xml:space="preserve">The Indonesia comparison (Section 4) is a desk-based regulatory review, not an independent facility-level or satellite-based measurement exercise of the kind conducted for Malaysia; its conclusions about aggregation risk in Indonesia are structural and comparative, not independently quantified.</w:t>
      </w:r>
    </w:p>
    <w:p>
      <w:pPr>
        <w:pStyle w:val="Heading1"/>
        <w:spacing w:after="160" w:before="320"/>
      </w:pPr>
      <w:r>
        <w:t xml:space="preserve">Companion Documents</w:t>
      </w:r>
    </w:p>
    <w:p>
      <w:pPr>
        <w:spacing w:after="160"/>
        <w:jc w:val="left"/>
      </w:pPr>
      <w:r>
        <w:rPr>
          <w:rFonts w:ascii="Calibri" w:cs="Calibri" w:eastAsia="Calibri" w:hAnsi="Calibri"/>
          <w:b w:val="false"/>
          <w:bCs w:val="false"/>
          <w:i w:val="false"/>
          <w:iCs w:val="false"/>
          <w:sz w:val="22"/>
          <w:szCs w:val="22"/>
        </w:rPr>
        <w:t xml:space="preserve">This report should be read alongside: the Full Project Methodology (satellite CV detection, deduplication, resource-extraction estimation, and the full land-cover change rollout); the Comparative Regulatory Desk Review (Indonesia vs Malaysia); GSA_Master_Facility_Database.csv and its accompanying methodology note and data dictionary; and the Verification and QA Report. All are available as separate deliverables under this subgrant.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2026-08-20T10:08:23.370Z</dcterms:created>
  <dcterms:modified xsi:type="dcterms:W3CDTF">2026-08-20T10:08:23.370Z</dcterms:modified>
</cp:coreProperties>
</file>

<file path=docProps/custom.xml><?xml version="1.0" encoding="utf-8"?>
<Properties xmlns="http://schemas.openxmlformats.org/officeDocument/2006/custom-properties" xmlns:vt="http://schemas.openxmlformats.org/officeDocument/2006/docPropsVTypes"/>
</file>