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Calibri" w:cs="Calibri" w:eastAsia="Calibri" w:hAnsi="Calibri"/>
          <w:b/>
          <w:bCs/>
          <w:sz w:val="32"/>
          <w:szCs w:val="32"/>
        </w:rPr>
        <w:t xml:space="preserve">Preliminary Results Report: Expanded Background and Assessment Sections</w:t>
      </w:r>
    </w:p>
    <w:p>
      <w:pPr>
        <w:spacing w:after="160"/>
      </w:pPr>
      <w:r>
        <w:rPr>
          <w:rFonts w:ascii="Calibri" w:cs="Calibri" w:eastAsia="Calibri" w:hAnsi="Calibri"/>
          <w:b w:val="false"/>
          <w:bCs w:val="false"/>
          <w:i/>
          <w:iCs/>
          <w:sz w:val="22"/>
          <w:szCs w:val="22"/>
        </w:rPr>
        <w:t xml:space="preserve">Drafted in response to GSA Secretariat feedback on the 15 June 2026 Interim Narrative Report (regarding: more detail on Malaysia's regulatory/political landscape; more detail on project outputs, specifically the text corpus and database). Ready to insert into the Preliminary Results Report in place of the current one-paragraph Background.</w:t>
      </w:r>
    </w:p>
    <w:p>
      <w:pPr>
        <w:pStyle w:val="Heading1"/>
        <w:spacing w:after="140" w:before="300"/>
      </w:pPr>
      <w:r>
        <w:t xml:space="preserve">Expanded Background: Malaysia's Regulatory and Political Landscape for Data Centres</w:t>
      </w:r>
    </w:p>
    <w:p>
      <w:pPr>
        <w:spacing w:after="160"/>
      </w:pPr>
      <w:r>
        <w:rPr>
          <w:rFonts w:ascii="Calibri" w:cs="Calibri" w:eastAsia="Calibri" w:hAnsi="Calibri"/>
          <w:b w:val="false"/>
          <w:bCs w:val="false"/>
          <w:i w:val="false"/>
          <w:iCs w:val="false"/>
          <w:sz w:val="22"/>
          <w:szCs w:val="22"/>
        </w:rPr>
        <w:t xml:space="preserve">Malaysia's data centre governance framework has developed piecemeal and largely after investment commitments were already made, rather than ahead of them. The Federal Department of Town and Country Planning (PLANMalaysia) issued Planning Guidelines for Data Centres in October 2024, and the Malaysian Communications and Multimedia Commission (MCMC), together with the Malaysian Technical Standards Forum Bhd, published a technical code for green data centres (MCMC MTSFB TC G004:2024) the same year. The government's own National Data Centre Framework was only introduced on 22 July 2025 and took effect that October, more than four years after the current wave of announced investment began in 2021. None of these instruments, nor the underlying Environmental Quality Act 1974 and its Prescribed Activities Order, create a dedicated environmental-review category for data centres: where captured at all, facilities are treated as generic industrial or commercial floor area subject to the same hectare-based thresholds as any other development, a gap confirmed independently in every Malaysian jurisdiction with satellite-confirmed data centre facilities, including the separately governed states of Sarawak and Sabah.</w:t>
      </w:r>
    </w:p>
    <w:p>
      <w:pPr>
        <w:spacing w:after="160"/>
      </w:pPr>
      <w:r>
        <w:rPr>
          <w:rFonts w:ascii="Calibri" w:cs="Calibri" w:eastAsia="Calibri" w:hAnsi="Calibri"/>
          <w:b w:val="false"/>
          <w:bCs w:val="false"/>
          <w:i w:val="false"/>
          <w:iCs w:val="false"/>
          <w:sz w:val="22"/>
          <w:szCs w:val="22"/>
        </w:rPr>
        <w:t xml:space="preserve">Energy and water capacity have emerged as the binding constraints on this expansion. Tenaga Nasional Berhad (TNB), the national utility, projects data centre electricity demand could reach 5,000 MW by 2035, against more than 11,000 MW in applications already received, and has tied a RM43 billion Regulatory Period 4 grid modernisation commitment partly to accommodating this demand, under the government's wider National Energy Transition Roadmap (NETR). At state level, this strain has already produced a policy response: Johor imposed a moratorium on new Tier 1 and Tier 2 data centre approvals in November 2025, and a federal minister stated in 2024 that several data centre projects had been cancelled and that government policy had shifted toward not actively encouraging new, non-AI-linked projects, citing high energy and water requirements directly. The federal government has simultaneously sought to diversify the sector's geography, stating an intent to develop an alternative Southeast Asian digital-traffic hub and data centre on a 200-acre site within the Kedah Special Border Economic Zone at Bukit Kayu Hitam.</w:t>
      </w:r>
    </w:p>
    <w:p>
      <w:pPr>
        <w:spacing w:after="160"/>
      </w:pPr>
      <w:r>
        <w:rPr>
          <w:rFonts w:ascii="Calibri" w:cs="Calibri" w:eastAsia="Calibri" w:hAnsi="Calibri"/>
          <w:b w:val="false"/>
          <w:bCs w:val="false"/>
          <w:i w:val="false"/>
          <w:iCs w:val="false"/>
          <w:sz w:val="22"/>
          <w:szCs w:val="22"/>
        </w:rPr>
        <w:t xml:space="preserve">Investment tracking shows a substantial gap between pledged and realised capital: as of a May 2026 ministerial statement, RM280 billion in data centre investment had been pledged nationally against RM131 billion realised, a 47% realisation rate. State-level legislative debate, drawn from a systematic review of Johor State Assembly and federal Dewan Rakyat Hansard records (2008–2026, 174 candidate sittings identified, 171 confirmed substantively relevant on manual review), shows Johor state government framing data centres as its single largest investment-value sector since at least 2023, while federal-level debate has increasingly linked data centre capacity directly to AI policy and national digital-sovereignty concerns. This combination, rapid, front-loaded investment commitment; environmental review frameworks that do not yet recognise the sector as a distinct category; and energy/water capacity constraints now visibly shaping state-level approval decisions, is the regulatory and political context within which this project's facility-level resource estimates should be read.</w:t>
      </w:r>
    </w:p>
    <w:p>
      <w:pPr>
        <w:pStyle w:val="Heading1"/>
        <w:spacing w:after="140" w:before="300"/>
      </w:pPr>
      <w:r>
        <w:t xml:space="preserve">Outputs</w:t>
      </w:r>
    </w:p>
    <w:p>
      <w:pPr>
        <w:spacing w:after="160"/>
      </w:pPr>
      <w:r>
        <w:rPr>
          <w:rFonts w:ascii="Calibri" w:cs="Calibri" w:eastAsia="Calibri" w:hAnsi="Calibri"/>
          <w:b w:val="false"/>
          <w:bCs w:val="false"/>
          <w:i w:val="false"/>
          <w:iCs w:val="false"/>
          <w:sz w:val="22"/>
          <w:szCs w:val="22"/>
        </w:rPr>
        <w:t xml:space="preserve">The geospatial and text-mining pipelines described in the June report have since progressed through validation, redesign, and consolidation, and now produce two documented outputs suitable for external, non-technical review, attached to this report.</w:t>
      </w:r>
    </w:p>
    <w:p>
      <w:pPr>
        <w:spacing w:after="160"/>
      </w:pPr>
      <w:r>
        <w:rPr>
          <w:rFonts w:ascii="Calibri" w:cs="Calibri" w:eastAsia="Calibri" w:hAnsi="Calibri"/>
          <w:b w:val="false"/>
          <w:bCs w:val="false"/>
          <w:i w:val="false"/>
          <w:iCs w:val="false"/>
          <w:sz w:val="22"/>
          <w:szCs w:val="22"/>
        </w:rPr>
        <w:t xml:space="preserve">The geospatial database (GSA_Master_Facility_Database.csv, with an accompanying methodology note and data dictionary) covers 71 physical data centre buildings in Malaysia, deduplicated from the 124 individually CV-measured facilities reported in June after it was found that a substantial share of those 124 named entries were co-located tenants within the same physical building rather than physically distinct sites. The underlying computer-vision detector was itself audited after the June report and found to frequently misidentify non-building features (shadows, roads, vegetation) as the target structure; a redesigned detector, using colour-space masking and an explicit confidence score, has since been deployed across the full facility set, and footprint area is now computed from the detector's polygon contour rather than a bounding box, which had overstated area by 50.9% on average against the actual building outline. The database further distinguishes 7 buildings with operator-disclosed power capacity from 42 with modelled capacity (49 of 71 buildings included in total; the remaining 22 are excluded, 3 for an independently verified coordinate that resolves outside Malaysia and 19 following a subsequent independent manual review that found no confident building visible in the available imagery). Every facility record was independently re-verified by hand by the Research Assistant against the source satellite imagery before this database was finalised.</w:t>
      </w:r>
    </w:p>
    <w:p>
      <w:pPr>
        <w:spacing w:after="160"/>
      </w:pPr>
      <w:r>
        <w:rPr>
          <w:rFonts w:ascii="Calibri" w:cs="Calibri" w:eastAsia="Calibri" w:hAnsi="Calibri"/>
          <w:b w:val="false"/>
          <w:bCs w:val="false"/>
          <w:i w:val="false"/>
          <w:iCs w:val="false"/>
          <w:sz w:val="22"/>
          <w:szCs w:val="22"/>
        </w:rPr>
        <w:t xml:space="preserve">The text corpus (indexing notes and triage summaries covering Federal Parliamentary and Johor State Assembly Hansards, national Environmental Impact Assessments, and New Industrial Master Plan documentation) supports both the regulatory timeline in the Background section above and the land-use finding described below. A companion land-cover change analysis, combining this corpus with satellite-derived deforestation data, has been extended from an initial five-facility pilot to the full dataset, grouped into 16 valid geographic corridors covering 68 of the 71 buildings, and an interactive public map and satellite image gallery covering the full named dataset is published alongside this report.</w:t>
      </w:r>
    </w:p>
    <w:p>
      <w:pPr>
        <w:pStyle w:val="Heading1"/>
        <w:spacing w:after="140" w:before="300"/>
      </w:pPr>
      <w:r>
        <w:t xml:space="preserve">Findings</w:t>
      </w:r>
    </w:p>
    <w:p>
      <w:pPr>
        <w:spacing w:after="160"/>
      </w:pPr>
      <w:r>
        <w:rPr>
          <w:rFonts w:ascii="Calibri" w:cs="Calibri" w:eastAsia="Calibri" w:hAnsi="Calibri"/>
          <w:b w:val="false"/>
          <w:bCs w:val="false"/>
          <w:i w:val="false"/>
          <w:iCs w:val="false"/>
          <w:sz w:val="22"/>
          <w:szCs w:val="22"/>
        </w:rPr>
        <w:t xml:space="preserve">The independent manual review, in which the Research Assistant checked every flagged facility against the satellite imagery by hand, produced a finding more significant than the automated pipeline's original numeric estimates: of the 8 facilities with operator-disclosed capacity that the pipeline initially relied on to calibrate its area-to-power coefficient, 7 could not be confidently located as a distinct building in the available imagery at all, even under manual review. This means the sector's opacity extends further than initially measured; it is not only that a single coefficient cannot describe this capital stock, but that a trained human reviewer working from the same public satellite imagery cannot confirm the physical existence or footprint of most of the facilities whose capacity operators have chosen to disclose. This verification-rate finding, rather than the originally reported coefficient spread, is now the basis for the standalone methodological contribution described in the accompanying valuation paper.</w:t>
      </w:r>
    </w:p>
    <w:p>
      <w:pPr>
        <w:spacing w:after="160"/>
      </w:pPr>
      <w:r>
        <w:rPr>
          <w:rFonts w:ascii="Calibri" w:cs="Calibri" w:eastAsia="Calibri" w:hAnsi="Calibri"/>
          <w:b w:val="false"/>
          <w:bCs w:val="false"/>
          <w:i w:val="false"/>
          <w:iCs w:val="false"/>
          <w:sz w:val="22"/>
          <w:szCs w:val="22"/>
        </w:rPr>
        <w:t xml:space="preserve">Across the 16 land-cover corridors, combined tree cover loss since 2001 is approximately 1,537.5 hectares, an area-weighted 17.3% of combined 2000 canopy baseline, with individual corridors ranging from negligible loss in already-developed urban cores to complete canopy loss (100%) at one purpose-built greenfield campus. None of this land-use signal appears in any Hansard record reviewed. This is consistent with the regulatory gap identified in the Background above: Malaysia's environmental review thresholds are sized for single large developments, but data centres are typically built as 1-to-2-acre parcels in sequential clusters, so no individual facility is ever large enough on its own to trigger the review that would surface the corridor's combined footprint.</w:t>
      </w:r>
    </w:p>
    <w:p>
      <w:pPr>
        <w:spacing w:after="160"/>
      </w:pPr>
      <w:r>
        <w:rPr>
          <w:rFonts w:ascii="Calibri" w:cs="Calibri" w:eastAsia="Calibri" w:hAnsi="Calibri"/>
          <w:b w:val="false"/>
          <w:bCs w:val="false"/>
          <w:i w:val="false"/>
          <w:iCs w:val="false"/>
          <w:sz w:val="22"/>
          <w:szCs w:val="22"/>
        </w:rPr>
        <w:t xml:space="preserve">Of the 49 facilities included in the resource-estimation totals, ownership resolves to 45 distinct operators, but the 5 largest account for approximately 70% of total estimated power demand, and the 10 largest account for approximately 81%. The resource footprint documented in this report is therefore concentrated among a small number of large operators rather than spread evenly across the sector.</w:t>
      </w:r>
    </w:p>
    <w:p>
      <w:pPr>
        <w:spacing w:after="160"/>
      </w:pPr>
      <w:r>
        <w:rPr>
          <w:rFonts w:ascii="Calibri" w:cs="Calibri" w:eastAsia="Calibri" w:hAnsi="Calibri"/>
          <w:b w:val="false"/>
          <w:bCs w:val="false"/>
          <w:i w:val="false"/>
          <w:iCs w:val="false"/>
          <w:sz w:val="22"/>
          <w:szCs w:val="22"/>
        </w:rPr>
        <w:t xml:space="preserve">The text corpus also surfaced two findings not previously identified in the June report: a federal-level admission that data centre projects have been cancelled for energy and water reasons, and a previously undocumented government-stated plan for an alternative data centre hub on a 200-acre site in the Kedah Special Border Economic Zone. Two further buildings (a single corridor) were found during the land-cover rollout to carry a coordinate resolving to Singapore rather than Malaysia, a second instance of the out-of-country geocoding error class first identified during independent verification of the database, and are excluded from all Malaysia-specific aggregates pending re-geocoding.</w:t>
      </w:r>
    </w:p>
    <w:p>
      <w:pPr>
        <w:pStyle w:val="Heading1"/>
        <w:spacing w:after="140" w:before="300"/>
      </w:pPr>
      <w:r>
        <w:t xml:space="preserve">Recommendations</w:t>
      </w:r>
    </w:p>
    <w:p>
      <w:pPr>
        <w:spacing w:after="160"/>
      </w:pPr>
      <w:r>
        <w:rPr>
          <w:rFonts w:ascii="Calibri" w:cs="Calibri" w:eastAsia="Calibri" w:hAnsi="Calibri"/>
          <w:b w:val="false"/>
          <w:bCs w:val="false"/>
          <w:i w:val="false"/>
          <w:iCs w:val="false"/>
          <w:sz w:val="22"/>
          <w:szCs w:val="22"/>
        </w:rPr>
        <w:t xml:space="preserve">These findings point to a design gap rather than an enforcement failure, and the following are feasible without new primary legislation:</w:t>
      </w:r>
    </w:p>
    <w:p>
      <w:pPr>
        <w:pStyle w:val="ListParagraph"/>
        <w:numPr>
          <w:ilvl w:val="0"/>
          <w:numId w:val="2"/>
        </w:numPr>
        <w:spacing w:after="100"/>
      </w:pPr>
      <w:r>
        <w:rPr>
          <w:rFonts w:ascii="Calibri" w:cs="Calibri" w:eastAsia="Calibri" w:hAnsi="Calibri"/>
          <w:sz w:val="22"/>
          <w:szCs w:val="22"/>
        </w:rPr>
        <w:t xml:space="preserve">Add a cumulative, corridor-level assessment trigger alongside the existing per-parcel threshold, so that several data centre developments within a defined radius or shared utility corridor are jointly reviewed once their combined size would already trigger review for a single project.</w:t>
      </w:r>
    </w:p>
    <w:p>
      <w:pPr>
        <w:pStyle w:val="ListParagraph"/>
        <w:numPr>
          <w:ilvl w:val="0"/>
          <w:numId w:val="2"/>
        </w:numPr>
        <w:spacing w:after="100"/>
      </w:pPr>
      <w:r>
        <w:rPr>
          <w:rFonts w:ascii="Calibri" w:cs="Calibri" w:eastAsia="Calibri" w:hAnsi="Calibri"/>
          <w:sz w:val="22"/>
          <w:szCs w:val="22"/>
        </w:rPr>
        <w:t xml:space="preserve">Require facility-level power and water capacity disclosure as a condition of planning approval or grid/utility connection, even in coarse bands, to close the resource-transparency gap that currently forces reliance on satellite-based estimation.</w:t>
      </w:r>
    </w:p>
    <w:p>
      <w:pPr>
        <w:pStyle w:val="ListParagraph"/>
        <w:numPr>
          <w:ilvl w:val="0"/>
          <w:numId w:val="2"/>
        </w:numPr>
        <w:spacing w:after="100"/>
      </w:pPr>
      <w:r>
        <w:rPr>
          <w:rFonts w:ascii="Calibri" w:cs="Calibri" w:eastAsia="Calibri" w:hAnsi="Calibri"/>
          <w:sz w:val="22"/>
          <w:szCs w:val="22"/>
        </w:rPr>
        <w:t xml:space="preserve">Attach a public land-use and resource reporting obligation to any state or federal incentive (tax holidays, Special Economic Zone status) granted to data centre operators, so the footprint of incentivised projects is visible to the legislature that approved the incentive.</w:t>
      </w:r>
    </w:p>
    <w:p>
      <w:pPr>
        <w:pStyle w:val="ListParagraph"/>
        <w:numPr>
          <w:ilvl w:val="0"/>
          <w:numId w:val="2"/>
        </w:numPr>
        <w:spacing w:after="100"/>
      </w:pPr>
      <w:r>
        <w:rPr>
          <w:rFonts w:ascii="Calibri" w:cs="Calibri" w:eastAsia="Calibri" w:hAnsi="Calibri"/>
          <w:sz w:val="22"/>
          <w:szCs w:val="22"/>
        </w:rPr>
        <w:t xml:space="preserve">Because the sector's resource footprint is concentrated among a small number of large operators, a disclosure or review requirement targeted at this sector would capture most of the footprint without needing to reach a long tail of small operators.</w:t>
      </w:r>
    </w:p>
    <w:p>
      <w:pPr>
        <w:pStyle w:val="ListParagraph"/>
        <w:numPr>
          <w:ilvl w:val="0"/>
          <w:numId w:val="2"/>
        </w:numPr>
        <w:spacing w:after="100"/>
      </w:pPr>
      <w:r>
        <w:rPr>
          <w:rFonts w:ascii="Calibri" w:cs="Calibri" w:eastAsia="Calibri" w:hAnsi="Calibri"/>
          <w:sz w:val="22"/>
          <w:szCs w:val="22"/>
        </w:rPr>
        <w:t xml:space="preserve">Given the verification-rate finding above, treat operator self-disclosure alone as insufficient: even facilities that voluntarily disclose capacity could not be independently confirmed against public imagery, so any disclosure regime should include a verification or audit mechanism rather than relying on reported figures alone.</w:t>
      </w:r>
    </w:p>
    <w:p>
      <w:pPr>
        <w:pStyle w:val="Heading1"/>
        <w:spacing w:after="140" w:before="300"/>
      </w:pPr>
      <w:r>
        <w:t xml:space="preserve">Suggested Cover Note to the GSA Secretariat</w:t>
      </w:r>
    </w:p>
    <w:p>
      <w:pPr>
        <w:spacing w:after="160"/>
      </w:pPr>
      <w:r>
        <w:rPr>
          <w:rFonts w:ascii="Calibri" w:cs="Calibri" w:eastAsia="Calibri" w:hAnsi="Calibri"/>
          <w:b w:val="false"/>
          <w:bCs w:val="false"/>
          <w:i/>
          <w:iCs/>
          <w:sz w:val="22"/>
          <w:szCs w:val="22"/>
        </w:rPr>
        <w:t xml:space="preserve">Dear Jaqueline,</w:t>
      </w:r>
    </w:p>
    <w:p>
      <w:pPr>
        <w:spacing w:after="160"/>
      </w:pPr>
      <w:r>
        <w:rPr>
          <w:rFonts w:ascii="Calibri" w:cs="Calibri" w:eastAsia="Calibri" w:hAnsi="Calibri"/>
          <w:b w:val="false"/>
          <w:bCs w:val="false"/>
          <w:i/>
          <w:iCs/>
          <w:sz w:val="22"/>
          <w:szCs w:val="22"/>
        </w:rPr>
        <w:t xml:space="preserve">Thank you for the positive review and the two comments. Both are addressed in the attached Preliminary Results Report: the Background section now includes a sourced regulatory and political timeline for Malaysia's data centre sector, and the Outputs and Findings sections describe the geospatial database and text corpus in detail, with the database itself, a data dictionary, and a methodology note attached for external review. We have also added a standalone Recommendations section drawing directly on the Findings. Since this draft was first prepared, the database, land-cover analysis, and disclosed-capacity comparison have all been extended and independently re-verified by hand by our Research Assistant; the figures here reflect that final, reconciled dataset, including a stronger verification-failure finding that has since superseded our earlier coefficient-spread estimate (see Findings). We are glad to walk through either attachment on a call if useful ahead of the final phase.</w:t>
      </w:r>
    </w:p>
    <w:p>
      <w:pPr>
        <w:spacing w:after="160"/>
      </w:pPr>
      <w:r>
        <w:rPr>
          <w:rFonts w:ascii="Calibri" w:cs="Calibri" w:eastAsia="Calibri" w:hAnsi="Calibri"/>
          <w:b w:val="false"/>
          <w:bCs w:val="false"/>
          <w:i/>
          <w:iCs/>
          <w:sz w:val="22"/>
          <w:szCs w:val="22"/>
        </w:rPr>
        <w:t xml:space="preserve">Kind regards,
Adhura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2026-09-03T07:03:16.099Z</dcterms:created>
  <dcterms:modified xsi:type="dcterms:W3CDTF">2026-09-03T07:03:16.099Z</dcterms:modified>
</cp:coreProperties>
</file>

<file path=docProps/custom.xml><?xml version="1.0" encoding="utf-8"?>
<Properties xmlns="http://schemas.openxmlformats.org/officeDocument/2006/custom-properties" xmlns:vt="http://schemas.openxmlformats.org/officeDocument/2006/docPropsVTypes"/>
</file>