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Verification and QA Report</w:t>
      </w:r>
    </w:p>
    <w:p>
      <w:pPr>
        <w:spacing w:after="150"/>
      </w:pPr>
      <w:r>
        <w:rPr>
          <w:rFonts w:ascii="Calibri" w:cs="Calibri" w:eastAsia="Calibri" w:hAnsi="Calibri"/>
          <w:b w:val="false"/>
          <w:bCs w:val="false"/>
          <w:i/>
          <w:iCs/>
          <w:sz w:val="22"/>
          <w:szCs w:val="22"/>
        </w:rPr>
        <w:t xml:space="preserve">Attachment to the Preliminary Results Report, Global South Alliance. Covers the positional-accuracy spot-check and CV extraction QA sample called for in the 9 July 2026 Research Plan, plus a full-dataset automated re-check across all 71 buildings.</w:t>
      </w:r>
    </w:p>
    <w:p>
      <w:pPr>
        <w:pStyle w:val="Heading1"/>
        <w:spacing w:after="140" w:before="300"/>
      </w:pPr>
      <w:r>
        <w:t xml:space="preserve">1. Method</w:t>
      </w:r>
    </w:p>
    <w:p>
      <w:pPr>
        <w:spacing w:after="150"/>
      </w:pPr>
      <w:r>
        <w:rPr>
          <w:rFonts w:ascii="Calibri" w:cs="Calibri" w:eastAsia="Calibri" w:hAnsi="Calibri"/>
          <w:b w:val="false"/>
          <w:bCs w:val="false"/>
          <w:i w:val="false"/>
          <w:iCs w:val="false"/>
          <w:sz w:val="22"/>
          <w:szCs w:val="22"/>
        </w:rPr>
        <w:t xml:space="preserve">Two rounds of verification were run. First, a 10% manual sample (7 of 71 deduplicated buildings, fixed random seed for reproducibility): each sampled building's recorded City field was checked against its coordinate for plausibility, and, where a confident CV detection exists, its satellite bounding-box image was visually inspected against the raw capture. Second, following findings from the manual sample, two automated checks were re-run across the full 71-building dataset rather than the 10% sample alone: an independent geometric re-check (border-touching/full-frame box detection, applied to the redesigned detector's current output) and a coordinate-region plausibility check (comparing each building's coordinate against the Malaysian state/region implied by its recorded City field).</w:t>
      </w:r>
    </w:p>
    <w:p>
      <w:pPr>
        <w:spacing w:after="150"/>
      </w:pPr>
      <w:r>
        <w:rPr>
          <w:rFonts w:ascii="Calibri" w:cs="Calibri" w:eastAsia="Calibri" w:hAnsi="Calibri"/>
          <w:b w:val="false"/>
          <w:bCs w:val="false"/>
          <w:i w:val="false"/>
          <w:iCs w:val="false"/>
          <w:sz w:val="22"/>
          <w:szCs w:val="22"/>
        </w:rPr>
        <w:t xml:space="preserve">One of the seven manually sampled buildings, YTL Johor Data Center 2, is already recorded as EXCLUDED (unconfirmed location) in the master database and was not part of the area-based visual check; its exclusion status is itself confirmed correct by this sample.</w:t>
      </w:r>
    </w:p>
    <w:p>
      <w:pPr>
        <w:pStyle w:val="Heading1"/>
        <w:spacing w:after="140" w:before="300"/>
      </w:pPr>
      <w:r>
        <w:t xml:space="preserve">2. Findings: Bounding-Box Visual Inspection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3300"/>
        <w:gridCol w:w="1700"/>
      </w:tblGrid>
      <w:tr>
        <w:tc>
          <w:tcPr>
            <w:tcW w:type="dxa" w:w="2600"/>
            <w:shd w:fill="1F3864" w:val="clear"/>
            <w:vAlign w:val="center"/>
          </w:tcPr>
          <w:p>
            <w:r>
              <w:rPr>
                <w:rFonts w:ascii="Calibri" w:cs="Calibri" w:eastAsia="Calibri" w:hAnsi="Calibri"/>
                <w:b/>
                <w:bCs/>
                <w:color w:val="FFFFFF"/>
                <w:sz w:val="19"/>
                <w:szCs w:val="19"/>
              </w:rPr>
              <w:t xml:space="preserve">Facility</w:t>
            </w:r>
          </w:p>
        </w:tc>
        <w:tc>
          <w:tcPr>
            <w:tcW w:type="dxa" w:w="1700"/>
            <w:shd w:fill="1F3864" w:val="clear"/>
            <w:vAlign w:val="center"/>
          </w:tcPr>
          <w:p>
            <w:r>
              <w:rPr>
                <w:rFonts w:ascii="Calibri" w:cs="Calibri" w:eastAsia="Calibri" w:hAnsi="Calibri"/>
                <w:b/>
                <w:bCs/>
                <w:color w:val="FFFFFF"/>
                <w:sz w:val="19"/>
                <w:szCs w:val="19"/>
              </w:rPr>
              <w:t xml:space="preserve">Automated flag</w:t>
            </w:r>
          </w:p>
        </w:tc>
        <w:tc>
          <w:tcPr>
            <w:tcW w:type="dxa" w:w="3300"/>
            <w:shd w:fill="1F3864" w:val="clear"/>
            <w:vAlign w:val="center"/>
          </w:tcPr>
          <w:p>
            <w:r>
              <w:rPr>
                <w:rFonts w:ascii="Calibri" w:cs="Calibri" w:eastAsia="Calibri" w:hAnsi="Calibri"/>
                <w:b/>
                <w:bCs/>
                <w:color w:val="FFFFFF"/>
                <w:sz w:val="19"/>
                <w:szCs w:val="19"/>
              </w:rPr>
              <w:t xml:space="preserve">Visual inspection result</w:t>
            </w:r>
          </w:p>
        </w:tc>
        <w:tc>
          <w:tcPr>
            <w:tcW w:type="dxa" w:w="1700"/>
            <w:shd w:fill="1F3864" w:val="clear"/>
            <w:vAlign w:val="center"/>
          </w:tcPr>
          <w:p>
            <w:r>
              <w:rPr>
                <w:rFonts w:ascii="Calibri" w:cs="Calibri" w:eastAsia="Calibri" w:hAnsi="Calibri"/>
                <w:b/>
                <w:bCs/>
                <w:color w:val="FFFFFF"/>
                <w:sz w:val="19"/>
                <w:szCs w:val="19"/>
              </w:rPr>
              <w:t xml:space="preserve">Flag caught issue?</w:t>
            </w:r>
          </w:p>
        </w:tc>
      </w:tr>
      <w:tr>
        <w:tc>
          <w:tcPr>
            <w:tcW w:type="dxa" w:w="2600"/>
            <w:vAlign w:val="center"/>
          </w:tcPr>
          <w:p>
            <w:r>
              <w:rPr>
                <w:rFonts w:ascii="Calibri" w:cs="Calibri" w:eastAsia="Calibri" w:hAnsi="Calibri"/>
                <w:b w:val="false"/>
                <w:bCs w:val="false"/>
                <w:color w:val="000000"/>
                <w:sz w:val="19"/>
                <w:szCs w:val="19"/>
              </w:rPr>
              <w:t xml:space="preserve">AirTrunk Johor Bahru - JHB2</w:t>
            </w:r>
          </w:p>
        </w:tc>
        <w:tc>
          <w:tcPr>
            <w:tcW w:type="dxa" w:w="1700"/>
            <w:vAlign w:val="center"/>
          </w:tcPr>
          <w:p>
            <w:r>
              <w:rPr>
                <w:rFonts w:ascii="Calibri" w:cs="Calibri" w:eastAsia="Calibri" w:hAnsi="Calibri"/>
                <w:b w:val="false"/>
                <w:bCs w:val="false"/>
                <w:color w:val="000000"/>
                <w:sz w:val="19"/>
                <w:szCs w:val="19"/>
              </w:rPr>
              <w:t xml:space="preserve">LOW_COMPACTNESS</w:t>
            </w:r>
          </w:p>
        </w:tc>
        <w:tc>
          <w:tcPr>
            <w:tcW w:type="dxa" w:w="3300"/>
            <w:vAlign w:val="center"/>
          </w:tcPr>
          <w:p>
            <w:r>
              <w:rPr>
                <w:rFonts w:ascii="Calibri" w:cs="Calibri" w:eastAsia="Calibri" w:hAnsi="Calibri"/>
                <w:b w:val="false"/>
                <w:bCs w:val="false"/>
                <w:color w:val="000000"/>
                <w:sz w:val="19"/>
                <w:szCs w:val="19"/>
              </w:rPr>
              <w:t xml:space="preserve">Box lands on vegetation/small structure, not the disclosed facility</w:t>
            </w:r>
          </w:p>
        </w:tc>
        <w:tc>
          <w:tcPr>
            <w:tcW w:type="dxa" w:w="1700"/>
            <w:vAlign w:val="center"/>
          </w:tcPr>
          <w:p>
            <w:r>
              <w:rPr>
                <w:rFonts w:ascii="Calibri" w:cs="Calibri" w:eastAsia="Calibri" w:hAnsi="Calibri"/>
                <w:b w:val="false"/>
                <w:bCs w:val="false"/>
                <w:color w:val="000000"/>
                <w:sz w:val="19"/>
                <w:szCs w:val="19"/>
              </w:rPr>
              <w:t xml:space="preserve">Yes</w:t>
            </w:r>
          </w:p>
        </w:tc>
      </w:tr>
      <w:tr>
        <w:tc>
          <w:tcPr>
            <w:tcW w:type="dxa" w:w="2600"/>
            <w:vAlign w:val="center"/>
          </w:tcPr>
          <w:p>
            <w:r>
              <w:rPr>
                <w:rFonts w:ascii="Calibri" w:cs="Calibri" w:eastAsia="Calibri" w:hAnsi="Calibri"/>
                <w:b w:val="false"/>
                <w:bCs w:val="false"/>
                <w:color w:val="000000"/>
                <w:sz w:val="19"/>
                <w:szCs w:val="19"/>
              </w:rPr>
              <w:t xml:space="preserve">TM Brickfields Data Centre (BFDC)</w:t>
            </w:r>
          </w:p>
        </w:tc>
        <w:tc>
          <w:tcPr>
            <w:tcW w:type="dxa" w:w="1700"/>
            <w:vAlign w:val="center"/>
          </w:tcPr>
          <w:p>
            <w:r>
              <w:rPr>
                <w:rFonts w:ascii="Calibri" w:cs="Calibri" w:eastAsia="Calibri" w:hAnsi="Calibri"/>
                <w:b w:val="false"/>
                <w:bCs w:val="false"/>
                <w:color w:val="000000"/>
                <w:sz w:val="19"/>
                <w:szCs w:val="19"/>
              </w:rPr>
              <w:t xml:space="preserve">LOW_COMPACTNESS</w:t>
            </w:r>
          </w:p>
        </w:tc>
        <w:tc>
          <w:tcPr>
            <w:tcW w:type="dxa" w:w="3300"/>
            <w:vAlign w:val="center"/>
          </w:tcPr>
          <w:p>
            <w:r>
              <w:rPr>
                <w:rFonts w:ascii="Calibri" w:cs="Calibri" w:eastAsia="Calibri" w:hAnsi="Calibri"/>
                <w:b w:val="false"/>
                <w:bCs w:val="false"/>
                <w:color w:val="000000"/>
                <w:sz w:val="19"/>
                <w:szCs w:val="19"/>
              </w:rPr>
              <w:t xml:space="preserve">Box lands on tree canopy adjacent to the likely actual building</w:t>
            </w:r>
          </w:p>
        </w:tc>
        <w:tc>
          <w:tcPr>
            <w:tcW w:type="dxa" w:w="1700"/>
            <w:vAlign w:val="center"/>
          </w:tcPr>
          <w:p>
            <w:r>
              <w:rPr>
                <w:rFonts w:ascii="Calibri" w:cs="Calibri" w:eastAsia="Calibri" w:hAnsi="Calibri"/>
                <w:b w:val="false"/>
                <w:bCs w:val="false"/>
                <w:color w:val="000000"/>
                <w:sz w:val="19"/>
                <w:szCs w:val="19"/>
              </w:rPr>
              <w:t xml:space="preserve">Yes</w:t>
            </w:r>
          </w:p>
        </w:tc>
      </w:tr>
      <w:tr>
        <w:tc>
          <w:tcPr>
            <w:tcW w:type="dxa" w:w="2600"/>
            <w:vAlign w:val="center"/>
          </w:tcPr>
          <w:p>
            <w:r>
              <w:rPr>
                <w:rFonts w:ascii="Calibri" w:cs="Calibri" w:eastAsia="Calibri" w:hAnsi="Calibri"/>
                <w:b w:val="false"/>
                <w:bCs w:val="false"/>
                <w:color w:val="000000"/>
                <w:sz w:val="19"/>
                <w:szCs w:val="19"/>
              </w:rPr>
              <w:t xml:space="preserve">Shinsei Malaysia 1</w:t>
            </w:r>
          </w:p>
        </w:tc>
        <w:tc>
          <w:tcPr>
            <w:tcW w:type="dxa" w:w="1700"/>
            <w:vAlign w:val="center"/>
          </w:tcPr>
          <w:p>
            <w:r>
              <w:rPr>
                <w:rFonts w:ascii="Calibri" w:cs="Calibri" w:eastAsia="Calibri" w:hAnsi="Calibri"/>
                <w:b w:val="false"/>
                <w:bCs w:val="false"/>
                <w:color w:val="000000"/>
                <w:sz w:val="19"/>
                <w:szCs w:val="19"/>
              </w:rPr>
              <w:t xml:space="preserve">LOW_COMPACTNESS</w:t>
            </w:r>
          </w:p>
        </w:tc>
        <w:tc>
          <w:tcPr>
            <w:tcW w:type="dxa" w:w="3300"/>
            <w:vAlign w:val="center"/>
          </w:tcPr>
          <w:p>
            <w:r>
              <w:rPr>
                <w:rFonts w:ascii="Calibri" w:cs="Calibri" w:eastAsia="Calibri" w:hAnsi="Calibri"/>
                <w:b w:val="false"/>
                <w:bCs w:val="false"/>
                <w:color w:val="000000"/>
                <w:sz w:val="19"/>
                <w:szCs w:val="19"/>
              </w:rPr>
              <w:t xml:space="preserve">Not independently re-inspected this round; flag pattern consistent with above</w:t>
            </w:r>
          </w:p>
        </w:tc>
        <w:tc>
          <w:tcPr>
            <w:tcW w:type="dxa" w:w="1700"/>
            <w:vAlign w:val="center"/>
          </w:tcPr>
          <w:p>
            <w:r>
              <w:rPr>
                <w:rFonts w:ascii="Calibri" w:cs="Calibri" w:eastAsia="Calibri" w:hAnsi="Calibri"/>
                <w:b w:val="false"/>
                <w:bCs w:val="false"/>
                <w:color w:val="000000"/>
                <w:sz w:val="19"/>
                <w:szCs w:val="19"/>
              </w:rPr>
              <w:t xml:space="preserve">Not re-checked</w:t>
            </w:r>
          </w:p>
        </w:tc>
      </w:tr>
      <w:tr>
        <w:tc>
          <w:tcPr>
            <w:tcW w:type="dxa" w:w="2600"/>
            <w:vAlign w:val="center"/>
          </w:tcPr>
          <w:p>
            <w:r>
              <w:rPr>
                <w:rFonts w:ascii="Calibri" w:cs="Calibri" w:eastAsia="Calibri" w:hAnsi="Calibri"/>
                <w:b w:val="false"/>
                <w:bCs w:val="false"/>
                <w:color w:val="000000"/>
                <w:sz w:val="19"/>
                <w:szCs w:val="19"/>
              </w:rPr>
              <w:t xml:space="preserve">DayOne Nusajaya Tech Park NTP3 (+9 co-tenants)</w:t>
            </w:r>
          </w:p>
        </w:tc>
        <w:tc>
          <w:tcPr>
            <w:tcW w:type="dxa" w:w="1700"/>
            <w:vAlign w:val="center"/>
          </w:tcPr>
          <w:p>
            <w:r>
              <w:rPr>
                <w:rFonts w:ascii="Calibri" w:cs="Calibri" w:eastAsia="Calibri" w:hAnsi="Calibri"/>
                <w:b w:val="false"/>
                <w:bCs w:val="false"/>
                <w:color w:val="000000"/>
                <w:sz w:val="19"/>
                <w:szCs w:val="19"/>
              </w:rPr>
              <w:t xml:space="preserve">LOW_COMPACTNESS</w:t>
            </w:r>
          </w:p>
        </w:tc>
        <w:tc>
          <w:tcPr>
            <w:tcW w:type="dxa" w:w="3300"/>
            <w:vAlign w:val="center"/>
          </w:tcPr>
          <w:p>
            <w:r>
              <w:rPr>
                <w:rFonts w:ascii="Calibri" w:cs="Calibri" w:eastAsia="Calibri" w:hAnsi="Calibri"/>
                <w:b w:val="false"/>
                <w:bCs w:val="false"/>
                <w:color w:val="000000"/>
                <w:sz w:val="19"/>
                <w:szCs w:val="19"/>
              </w:rPr>
              <w:t xml:space="preserve">Not independently re-inspected this round; flag pattern consistent with above</w:t>
            </w:r>
          </w:p>
        </w:tc>
        <w:tc>
          <w:tcPr>
            <w:tcW w:type="dxa" w:w="1700"/>
            <w:vAlign w:val="center"/>
          </w:tcPr>
          <w:p>
            <w:r>
              <w:rPr>
                <w:rFonts w:ascii="Calibri" w:cs="Calibri" w:eastAsia="Calibri" w:hAnsi="Calibri"/>
                <w:b w:val="false"/>
                <w:bCs w:val="false"/>
                <w:color w:val="000000"/>
                <w:sz w:val="19"/>
                <w:szCs w:val="19"/>
              </w:rPr>
              <w:t xml:space="preserve">Not re-checked</w:t>
            </w:r>
          </w:p>
        </w:tc>
      </w:tr>
      <w:tr>
        <w:tc>
          <w:tcPr>
            <w:tcW w:type="dxa" w:w="2600"/>
            <w:vAlign w:val="center"/>
          </w:tcPr>
          <w:p>
            <w:r>
              <w:rPr>
                <w:rFonts w:ascii="Calibri" w:cs="Calibri" w:eastAsia="Calibri" w:hAnsi="Calibri"/>
                <w:b w:val="false"/>
                <w:bCs w:val="false"/>
                <w:color w:val="000000"/>
                <w:sz w:val="19"/>
                <w:szCs w:val="19"/>
              </w:rPr>
              <w:t xml:space="preserve">MaNaDr Kuching</w:t>
            </w:r>
          </w:p>
        </w:tc>
        <w:tc>
          <w:tcPr>
            <w:tcW w:type="dxa" w:w="1700"/>
            <w:vAlign w:val="center"/>
          </w:tcPr>
          <w:p>
            <w:r>
              <w:rPr>
                <w:rFonts w:ascii="Calibri" w:cs="Calibri" w:eastAsia="Calibri" w:hAnsi="Calibri"/>
                <w:b w:val="false"/>
                <w:bCs w:val="false"/>
                <w:color w:val="000000"/>
                <w:sz w:val="19"/>
                <w:szCs w:val="19"/>
              </w:rPr>
              <w:t xml:space="preserve">None</w:t>
            </w:r>
          </w:p>
        </w:tc>
        <w:tc>
          <w:tcPr>
            <w:tcW w:type="dxa" w:w="3300"/>
            <w:vAlign w:val="center"/>
          </w:tcPr>
          <w:p>
            <w:r>
              <w:rPr>
                <w:rFonts w:ascii="Calibri" w:cs="Calibri" w:eastAsia="Calibri" w:hAnsi="Calibri"/>
                <w:b w:val="false"/>
                <w:bCs w:val="false"/>
                <w:color w:val="000000"/>
                <w:sz w:val="19"/>
                <w:szCs w:val="19"/>
              </w:rPr>
              <w:t xml:space="preserve">Box touches two image edges (border-hugging/full-frame pattern), spans a road and river, not a single building</w:t>
            </w:r>
          </w:p>
        </w:tc>
        <w:tc>
          <w:tcPr>
            <w:tcW w:type="dxa" w:w="1700"/>
            <w:vAlign w:val="center"/>
          </w:tcPr>
          <w:p>
            <w:r>
              <w:rPr>
                <w:rFonts w:ascii="Calibri" w:cs="Calibri" w:eastAsia="Calibri" w:hAnsi="Calibri"/>
                <w:b w:val="false"/>
                <w:bCs w:val="false"/>
                <w:color w:val="000000"/>
                <w:sz w:val="19"/>
                <w:szCs w:val="19"/>
              </w:rPr>
              <w:t xml:space="preserve">No — missed</w:t>
            </w:r>
          </w:p>
        </w:tc>
      </w:tr>
      <w:tr>
        <w:tc>
          <w:tcPr>
            <w:tcW w:type="dxa" w:w="2600"/>
            <w:vAlign w:val="center"/>
          </w:tcPr>
          <w:p>
            <w:r>
              <w:rPr>
                <w:rFonts w:ascii="Calibri" w:cs="Calibri" w:eastAsia="Calibri" w:hAnsi="Calibri"/>
                <w:b w:val="false"/>
                <w:bCs w:val="false"/>
                <w:color w:val="000000"/>
                <w:sz w:val="19"/>
                <w:szCs w:val="19"/>
              </w:rPr>
              <w:t xml:space="preserve">Google Elmina Business Park</w:t>
            </w:r>
          </w:p>
        </w:tc>
        <w:tc>
          <w:tcPr>
            <w:tcW w:type="dxa" w:w="1700"/>
            <w:vAlign w:val="center"/>
          </w:tcPr>
          <w:p>
            <w:r>
              <w:rPr>
                <w:rFonts w:ascii="Calibri" w:cs="Calibri" w:eastAsia="Calibri" w:hAnsi="Calibri"/>
                <w:b w:val="false"/>
                <w:bCs w:val="false"/>
                <w:color w:val="000000"/>
                <w:sz w:val="19"/>
                <w:szCs w:val="19"/>
              </w:rPr>
              <w:t xml:space="preserve">None</w:t>
            </w:r>
          </w:p>
        </w:tc>
        <w:tc>
          <w:tcPr>
            <w:tcW w:type="dxa" w:w="3300"/>
            <w:vAlign w:val="center"/>
          </w:tcPr>
          <w:p>
            <w:r>
              <w:rPr>
                <w:rFonts w:ascii="Calibri" w:cs="Calibri" w:eastAsia="Calibri" w:hAnsi="Calibri"/>
                <w:b w:val="false"/>
                <w:bCs w:val="false"/>
                <w:color w:val="000000"/>
                <w:sz w:val="19"/>
                <w:szCs w:val="19"/>
              </w:rPr>
              <w:t xml:space="preserve">Box is degenerate (near-zero, over the imagery attribution text); no facility visible at the marked location, which shows a road interchange</w:t>
            </w:r>
          </w:p>
        </w:tc>
        <w:tc>
          <w:tcPr>
            <w:tcW w:type="dxa" w:w="1700"/>
            <w:vAlign w:val="center"/>
          </w:tcPr>
          <w:p>
            <w:r>
              <w:rPr>
                <w:rFonts w:ascii="Calibri" w:cs="Calibri" w:eastAsia="Calibri" w:hAnsi="Calibri"/>
                <w:b w:val="false"/>
                <w:bCs w:val="false"/>
                <w:color w:val="000000"/>
                <w:sz w:val="19"/>
                <w:szCs w:val="19"/>
              </w:rPr>
              <w:t xml:space="preserve">No — missed</w:t>
            </w:r>
          </w:p>
        </w:tc>
      </w:tr>
    </w:tbl>
    <w:p>
      <w:pPr>
        <w:pBdr>
          <w:left w:val="single" w:color="999999" w:sz="12" w:space="8"/>
        </w:pBdr>
        <w:spacing w:after="160"/>
        <w:ind w:left="200"/>
      </w:pPr>
      <w:r>
        <w:rPr>
          <w:rFonts w:ascii="Calibri" w:cs="Calibri" w:eastAsia="Calibri" w:hAnsi="Calibri"/>
          <w:i/>
          <w:iCs/>
          <w:color w:val="555555"/>
          <w:sz w:val="20"/>
          <w:szCs w:val="20"/>
        </w:rPr>
        <w:t xml:space="preserve">Result: of the 6 facilities checked for a CV_Flags value, 4 carried LOW_COMPACTNESS and 2 carried no flag at all. Visual inspection of all 4 flagged cases where imagery was reviewed (2 of the 4) confirmed the flag was justified. Visual inspection of the 2 unflagged cases found both to have a clearly invalid bounding box that the automated system did not catch. On this small sample, the automated flagging system has a false-negative rate of approximately one in three among facilities it otherwise treats as unremarkable (2 of 6 checked). This does not overturn the pipeline's overall validation results (Section 3.2/3.4 of the full methodology), which were based on a larger audit, but it does mean “no CV_Flags value” should not be read as “verified correct” for any individual record.</w:t>
      </w:r>
    </w:p>
    <w:p>
      <w:pPr>
        <w:pStyle w:val="Heading1"/>
        <w:spacing w:after="140" w:before="300"/>
      </w:pPr>
      <w:r>
        <w:t xml:space="preserve">3. Findings: Positional / Metadata Accuracy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00"/>
      </w:tblGrid>
      <w:tr>
        <w:tc>
          <w:tcPr>
            <w:tcW w:type="dxa" w:w="2600"/>
            <w:shd w:fill="1F3864" w:val="clear"/>
            <w:vAlign w:val="center"/>
          </w:tcPr>
          <w:p>
            <w:r>
              <w:rPr>
                <w:rFonts w:ascii="Calibri" w:cs="Calibri" w:eastAsia="Calibri" w:hAnsi="Calibri"/>
                <w:b/>
                <w:bCs/>
                <w:color w:val="FFFFFF"/>
                <w:sz w:val="19"/>
                <w:szCs w:val="19"/>
              </w:rPr>
              <w:t xml:space="preserve">Facility</w:t>
            </w:r>
          </w:p>
        </w:tc>
        <w:tc>
          <w:tcPr>
            <w:tcW w:type="dxa" w:w="2000"/>
            <w:shd w:fill="1F3864" w:val="clear"/>
            <w:vAlign w:val="center"/>
          </w:tcPr>
          <w:p>
            <w:r>
              <w:rPr>
                <w:rFonts w:ascii="Calibri" w:cs="Calibri" w:eastAsia="Calibri" w:hAnsi="Calibri"/>
                <w:b/>
                <w:bCs/>
                <w:color w:val="FFFFFF"/>
                <w:sz w:val="19"/>
                <w:szCs w:val="19"/>
              </w:rPr>
              <w:t xml:space="preserve">Recorded City field</w:t>
            </w:r>
          </w:p>
        </w:tc>
        <w:tc>
          <w:tcPr>
            <w:tcW w:type="dxa" w:w="4700"/>
            <w:shd w:fill="1F3864" w:val="clear"/>
            <w:vAlign w:val="center"/>
          </w:tcPr>
          <w:p>
            <w:r>
              <w:rPr>
                <w:rFonts w:ascii="Calibri" w:cs="Calibri" w:eastAsia="Calibri" w:hAnsi="Calibri"/>
                <w:b/>
                <w:bCs/>
                <w:color w:val="FFFFFF"/>
                <w:sz w:val="19"/>
                <w:szCs w:val="19"/>
              </w:rPr>
              <w:t xml:space="preserve">Assessment</w:t>
            </w:r>
          </w:p>
        </w:tc>
      </w:tr>
      <w:tr>
        <w:tc>
          <w:tcPr>
            <w:tcW w:type="dxa" w:w="2600"/>
            <w:vAlign w:val="center"/>
          </w:tcPr>
          <w:p>
            <w:r>
              <w:rPr>
                <w:rFonts w:ascii="Calibri" w:cs="Calibri" w:eastAsia="Calibri" w:hAnsi="Calibri"/>
                <w:b w:val="false"/>
                <w:bCs w:val="false"/>
                <w:color w:val="000000"/>
                <w:sz w:val="19"/>
                <w:szCs w:val="19"/>
              </w:rPr>
              <w:t xml:space="preserve">Google Elmina Business Park</w:t>
            </w:r>
          </w:p>
        </w:tc>
        <w:tc>
          <w:tcPr>
            <w:tcW w:type="dxa" w:w="2000"/>
            <w:vAlign w:val="center"/>
          </w:tcPr>
          <w:p>
            <w:r>
              <w:rPr>
                <w:rFonts w:ascii="Calibri" w:cs="Calibri" w:eastAsia="Calibri" w:hAnsi="Calibri"/>
                <w:b w:val="false"/>
                <w:bCs w:val="false"/>
                <w:color w:val="000000"/>
                <w:sz w:val="19"/>
                <w:szCs w:val="19"/>
              </w:rPr>
              <w:t xml:space="preserve">Kuala Lumpur</w:t>
            </w:r>
          </w:p>
        </w:tc>
        <w:tc>
          <w:tcPr>
            <w:tcW w:type="dxa" w:w="4700"/>
            <w:vAlign w:val="center"/>
          </w:tcPr>
          <w:p>
            <w:r>
              <w:rPr>
                <w:rFonts w:ascii="Calibri" w:cs="Calibri" w:eastAsia="Calibri" w:hAnsi="Calibri"/>
                <w:b w:val="false"/>
                <w:bCs w:val="false"/>
                <w:color w:val="000000"/>
                <w:sz w:val="19"/>
                <w:szCs w:val="19"/>
              </w:rPr>
              <w:t xml:space="preserve">Coordinate resolves to Selangor (near Shah Alam/Subang), not Kuala Lumpur. City label is incorrect; underlying coordinate not independently re-verified against a confirmed address in this round.</w:t>
            </w:r>
          </w:p>
        </w:tc>
      </w:tr>
      <w:tr>
        <w:tc>
          <w:tcPr>
            <w:tcW w:type="dxa" w:w="2600"/>
            <w:vAlign w:val="center"/>
          </w:tcPr>
          <w:p>
            <w:r>
              <w:rPr>
                <w:rFonts w:ascii="Calibri" w:cs="Calibri" w:eastAsia="Calibri" w:hAnsi="Calibri"/>
                <w:b w:val="false"/>
                <w:bCs w:val="false"/>
                <w:color w:val="000000"/>
                <w:sz w:val="19"/>
                <w:szCs w:val="19"/>
              </w:rPr>
              <w:t xml:space="preserve">Shinsei Malaysia 1</w:t>
            </w:r>
          </w:p>
        </w:tc>
        <w:tc>
          <w:tcPr>
            <w:tcW w:type="dxa" w:w="2000"/>
            <w:vAlign w:val="center"/>
          </w:tcPr>
          <w:p>
            <w:r>
              <w:rPr>
                <w:rFonts w:ascii="Calibri" w:cs="Calibri" w:eastAsia="Calibri" w:hAnsi="Calibri"/>
                <w:b w:val="false"/>
                <w:bCs w:val="false"/>
                <w:color w:val="000000"/>
                <w:sz w:val="19"/>
                <w:szCs w:val="19"/>
              </w:rPr>
              <w:t xml:space="preserve">Kuala Lumpur</w:t>
            </w:r>
          </w:p>
        </w:tc>
        <w:tc>
          <w:tcPr>
            <w:tcW w:type="dxa" w:w="4700"/>
            <w:vAlign w:val="center"/>
          </w:tcPr>
          <w:p>
            <w:r>
              <w:rPr>
                <w:rFonts w:ascii="Calibri" w:cs="Calibri" w:eastAsia="Calibri" w:hAnsi="Calibri"/>
                <w:b w:val="false"/>
                <w:bCs w:val="false"/>
                <w:color w:val="000000"/>
                <w:sz w:val="19"/>
                <w:szCs w:val="19"/>
              </w:rPr>
              <w:t xml:space="preserve">Coordinate resolves to the Nilai/Labu area, Negeri Sembilan, not Kuala Lumpur. Same pattern as above.</w:t>
            </w:r>
          </w:p>
        </w:tc>
      </w:tr>
      <w:tr>
        <w:tc>
          <w:tcPr>
            <w:tcW w:type="dxa" w:w="2600"/>
            <w:vAlign w:val="center"/>
          </w:tcPr>
          <w:p>
            <w:r>
              <w:rPr>
                <w:rFonts w:ascii="Calibri" w:cs="Calibri" w:eastAsia="Calibri" w:hAnsi="Calibri"/>
                <w:b w:val="false"/>
                <w:bCs w:val="false"/>
                <w:color w:val="000000"/>
                <w:sz w:val="19"/>
                <w:szCs w:val="19"/>
              </w:rPr>
              <w:t xml:space="preserve">Remaining 5 sampled facilities</w:t>
            </w:r>
          </w:p>
        </w:tc>
        <w:tc>
          <w:tcPr>
            <w:tcW w:type="dxa" w:w="2000"/>
            <w:vAlign w:val="center"/>
          </w:tcPr>
          <w:p>
            <w:r>
              <w:rPr>
                <w:rFonts w:ascii="Calibri" w:cs="Calibri" w:eastAsia="Calibri" w:hAnsi="Calibri"/>
                <w:b w:val="false"/>
                <w:bCs w:val="false"/>
                <w:color w:val="000000"/>
                <w:sz w:val="19"/>
                <w:szCs w:val="19"/>
              </w:rPr>
              <w:t xml:space="preserve">various</w:t>
            </w:r>
          </w:p>
        </w:tc>
        <w:tc>
          <w:tcPr>
            <w:tcW w:type="dxa" w:w="4700"/>
            <w:vAlign w:val="center"/>
          </w:tcPr>
          <w:p>
            <w:r>
              <w:rPr>
                <w:rFonts w:ascii="Calibri" w:cs="Calibri" w:eastAsia="Calibri" w:hAnsi="Calibri"/>
                <w:b w:val="false"/>
                <w:bCs w:val="false"/>
                <w:color w:val="000000"/>
                <w:sz w:val="19"/>
                <w:szCs w:val="19"/>
              </w:rPr>
              <w:t xml:space="preserve">City field plausible for the recorded coordinate.</w:t>
            </w:r>
          </w:p>
        </w:tc>
      </w:tr>
    </w:tbl>
    <w:p>
      <w:pPr>
        <w:pBdr>
          <w:left w:val="single" w:color="999999" w:sz="12" w:space="8"/>
        </w:pBdr>
        <w:spacing w:after="160"/>
        <w:ind w:left="200"/>
      </w:pPr>
      <w:r>
        <w:rPr>
          <w:rFonts w:ascii="Calibri" w:cs="Calibri" w:eastAsia="Calibri" w:hAnsi="Calibri"/>
          <w:i/>
          <w:iCs/>
          <w:color w:val="555555"/>
          <w:sz w:val="20"/>
          <w:szCs w:val="20"/>
        </w:rPr>
        <w:t xml:space="preserve">This is a metadata-labelling issue, not necessarily a coordinate error: the coordinate itself may still correctly locate the named facility, and the City field appears to default to a coarse or incorrect value independently of the coordinate in at least these two cases. It is a distinct failure mode from the parent-company-address and town-centroid geocoding fallbacks already documented in Section 2.2 of the full methodology, and is added here as an additional known data-quality caveat on the City field specifically.</w:t>
      </w:r>
    </w:p>
    <w:p>
      <w:pPr>
        <w:pStyle w:val="Heading1"/>
        <w:spacing w:after="140" w:before="300"/>
      </w:pPr>
      <w:r>
        <w:t xml:space="preserve">4. Full-Dataset Automated Re-Check (all 71 buildings)</w:t>
      </w:r>
    </w:p>
    <w:p>
      <w:pPr>
        <w:pStyle w:val="Heading2"/>
        <w:spacing w:after="100" w:before="220"/>
      </w:pPr>
      <w:r>
        <w:t xml:space="preserve">4.1 Geometric re-check (border-touching / full-frame boxes)</w:t>
      </w:r>
    </w:p>
    <w:p>
      <w:pPr>
        <w:spacing w:after="150"/>
      </w:pPr>
      <w:r>
        <w:rPr>
          <w:rFonts w:ascii="Calibri" w:cs="Calibri" w:eastAsia="Calibri" w:hAnsi="Calibri"/>
          <w:b w:val="false"/>
          <w:bCs w:val="false"/>
          <w:i w:val="false"/>
          <w:iCs w:val="false"/>
          <w:sz w:val="22"/>
          <w:szCs w:val="22"/>
        </w:rPr>
        <w:t xml:space="preserve">Applying the border-touching/full-frame check to all 71 buildings' current bounding-box images found 4 buildings with a border-hugging or full-frame box that carried no existing CV_Flags value: MaNaDr Kuching (also caught in the manual sample above), STT Johor 1, Area Group – Delapan SBEZ Campus, and Strateq DC-2. This is 4 of 71 (5.6%) previously unflagged geometric issues. A parallel texture-based re-check (vegetation/water colour fraction, structural edge density) found no additional unflagged issues, meaning this class of error is specifically a shape problem, not a colour/texture problem, and requires the border-touching check rather than the vegetation/water masking already in place.</w:t>
      </w:r>
    </w:p>
    <w:p>
      <w:pPr>
        <w:pStyle w:val="Heading2"/>
        <w:spacing w:after="100" w:before="220"/>
      </w:pPr>
      <w:r>
        <w:t xml:space="preserve">4.2 Coordinate-region plausibility re-check</w:t>
      </w:r>
    </w:p>
    <w:p>
      <w:pPr>
        <w:spacing w:after="150"/>
      </w:pPr>
      <w:r>
        <w:rPr>
          <w:rFonts w:ascii="Calibri" w:cs="Calibri" w:eastAsia="Calibri" w:hAnsi="Calibri"/>
          <w:b w:val="false"/>
          <w:bCs w:val="false"/>
          <w:i w:val="false"/>
          <w:iCs w:val="false"/>
          <w:sz w:val="22"/>
          <w:szCs w:val="22"/>
        </w:rPr>
        <w:t xml:space="preserve">Comparing each building's coordinate against the Malaysian state or region implied by its recorded City field, after excluding false positives from the check's own coarse region labels (for example, Cyberjaya, Shah Alam, and Petaling Jaya are correctly part of the Klang Valley/Selangor region despite not textually matching that label), found 5 genuine mismatches: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c>
          <w:tcPr>
            <w:tcW w:type="dxa" w:w="2900"/>
            <w:shd w:fill="1F3864" w:val="clear"/>
            <w:vAlign w:val="center"/>
          </w:tcPr>
          <w:p>
            <w:r>
              <w:rPr>
                <w:rFonts w:ascii="Calibri" w:cs="Calibri" w:eastAsia="Calibri" w:hAnsi="Calibri"/>
                <w:b/>
                <w:bCs/>
                <w:color w:val="FFFFFF"/>
                <w:sz w:val="19"/>
                <w:szCs w:val="19"/>
              </w:rPr>
              <w:t xml:space="preserve">Facility</w:t>
            </w:r>
          </w:p>
        </w:tc>
        <w:tc>
          <w:tcPr>
            <w:tcW w:type="dxa" w:w="6400"/>
            <w:shd w:fill="1F3864" w:val="clear"/>
            <w:vAlign w:val="center"/>
          </w:tcPr>
          <w:p>
            <w:r>
              <w:rPr>
                <w:rFonts w:ascii="Calibri" w:cs="Calibri" w:eastAsia="Calibri" w:hAnsi="Calibri"/>
                <w:b/>
                <w:bCs/>
                <w:color w:val="FFFFFF"/>
                <w:sz w:val="19"/>
                <w:szCs w:val="19"/>
              </w:rPr>
              <w:t xml:space="preserve">Finding</w:t>
            </w:r>
          </w:p>
        </w:tc>
      </w:tr>
      <w:tr>
        <w:tc>
          <w:tcPr>
            <w:tcW w:type="dxa" w:w="2900"/>
            <w:vAlign w:val="center"/>
          </w:tcPr>
          <w:p>
            <w:r>
              <w:rPr>
                <w:rFonts w:ascii="Calibri" w:cs="Calibri" w:eastAsia="Calibri" w:hAnsi="Calibri"/>
                <w:b w:val="false"/>
                <w:bCs w:val="false"/>
                <w:color w:val="000000"/>
                <w:sz w:val="19"/>
                <w:szCs w:val="19"/>
              </w:rPr>
              <w:t xml:space="preserve">Digital Halo JHB1</w:t>
            </w:r>
          </w:p>
        </w:tc>
        <w:tc>
          <w:tcPr>
            <w:tcW w:type="dxa" w:w="6400"/>
            <w:vAlign w:val="center"/>
          </w:tcPr>
          <w:p>
            <w:r>
              <w:rPr>
                <w:rFonts w:ascii="Calibri" w:cs="Calibri" w:eastAsia="Calibri" w:hAnsi="Calibri"/>
                <w:b w:val="false"/>
                <w:bCs w:val="false"/>
                <w:color w:val="000000"/>
                <w:sz w:val="19"/>
                <w:szCs w:val="19"/>
              </w:rPr>
              <w:t xml:space="preserve">Severe: coordinate resolves to Metro Manila, Philippines (14.59, 121.14), not Malaysia. Visual inspection of the satellite capture confirms a non-Malaysian building and street pattern. This facility should be treated as EXCLUDED pending re-geocoding, not included in any resource-estimation aggregate.</w:t>
            </w:r>
          </w:p>
        </w:tc>
      </w:tr>
      <w:tr>
        <w:tc>
          <w:tcPr>
            <w:tcW w:type="dxa" w:w="2900"/>
            <w:vAlign w:val="center"/>
          </w:tcPr>
          <w:p>
            <w:r>
              <w:rPr>
                <w:rFonts w:ascii="Calibri" w:cs="Calibri" w:eastAsia="Calibri" w:hAnsi="Calibri"/>
                <w:b w:val="false"/>
                <w:bCs w:val="false"/>
                <w:color w:val="000000"/>
                <w:sz w:val="19"/>
                <w:szCs w:val="19"/>
              </w:rPr>
              <w:t xml:space="preserve">Vantage Johor</w:t>
            </w:r>
          </w:p>
        </w:tc>
        <w:tc>
          <w:tcPr>
            <w:tcW w:type="dxa" w:w="6400"/>
            <w:vAlign w:val="center"/>
          </w:tcPr>
          <w:p>
            <w:r>
              <w:rPr>
                <w:rFonts w:ascii="Calibri" w:cs="Calibri" w:eastAsia="Calibri" w:hAnsi="Calibri"/>
                <w:b w:val="false"/>
                <w:bCs w:val="false"/>
                <w:color w:val="000000"/>
                <w:sz w:val="19"/>
                <w:szCs w:val="19"/>
              </w:rPr>
              <w:t xml:space="preserve">City field says Johor Bahru; coordinate resolves to the Cyberjaya/Selangor area, matching coordinates very close to unrelated Cyberjaya facilities in the dataset. Likely a mis-assigned or duplicate geocode.</w:t>
            </w:r>
          </w:p>
        </w:tc>
      </w:tr>
      <w:tr>
        <w:tc>
          <w:tcPr>
            <w:tcW w:type="dxa" w:w="2900"/>
            <w:vAlign w:val="center"/>
          </w:tcPr>
          <w:p>
            <w:r>
              <w:rPr>
                <w:rFonts w:ascii="Calibri" w:cs="Calibri" w:eastAsia="Calibri" w:hAnsi="Calibri"/>
                <w:b w:val="false"/>
                <w:bCs w:val="false"/>
                <w:color w:val="000000"/>
                <w:sz w:val="19"/>
                <w:szCs w:val="19"/>
              </w:rPr>
              <w:t xml:space="preserve">Google Elmina Business Park</w:t>
            </w:r>
          </w:p>
        </w:tc>
        <w:tc>
          <w:tcPr>
            <w:tcW w:type="dxa" w:w="6400"/>
            <w:vAlign w:val="center"/>
          </w:tcPr>
          <w:p>
            <w:r>
              <w:rPr>
                <w:rFonts w:ascii="Calibri" w:cs="Calibri" w:eastAsia="Calibri" w:hAnsi="Calibri"/>
                <w:b w:val="false"/>
                <w:bCs w:val="false"/>
                <w:color w:val="000000"/>
                <w:sz w:val="19"/>
                <w:szCs w:val="19"/>
              </w:rPr>
              <w:t xml:space="preserve">City field says Kuala Lumpur; coordinate resolves to Selangor. Already identified in the manual sample.</w:t>
            </w:r>
          </w:p>
        </w:tc>
      </w:tr>
      <w:tr>
        <w:tc>
          <w:tcPr>
            <w:tcW w:type="dxa" w:w="2900"/>
            <w:vAlign w:val="center"/>
          </w:tcPr>
          <w:p>
            <w:r>
              <w:rPr>
                <w:rFonts w:ascii="Calibri" w:cs="Calibri" w:eastAsia="Calibri" w:hAnsi="Calibri"/>
                <w:b w:val="false"/>
                <w:bCs w:val="false"/>
                <w:color w:val="000000"/>
                <w:sz w:val="19"/>
                <w:szCs w:val="19"/>
              </w:rPr>
              <w:t xml:space="preserve">Shinsei Malaysia 1</w:t>
            </w:r>
          </w:p>
        </w:tc>
        <w:tc>
          <w:tcPr>
            <w:tcW w:type="dxa" w:w="6400"/>
            <w:vAlign w:val="center"/>
          </w:tcPr>
          <w:p>
            <w:r>
              <w:rPr>
                <w:rFonts w:ascii="Calibri" w:cs="Calibri" w:eastAsia="Calibri" w:hAnsi="Calibri"/>
                <w:b w:val="false"/>
                <w:bCs w:val="false"/>
                <w:color w:val="000000"/>
                <w:sz w:val="19"/>
                <w:szCs w:val="19"/>
              </w:rPr>
              <w:t xml:space="preserve">City field says Kuala Lumpur; coordinate resolves to Negeri Sembilan. Already identified in the manual sample.</w:t>
            </w:r>
          </w:p>
        </w:tc>
      </w:tr>
      <w:tr>
        <w:tc>
          <w:tcPr>
            <w:tcW w:type="dxa" w:w="2900"/>
            <w:vAlign w:val="center"/>
          </w:tcPr>
          <w:p>
            <w:r>
              <w:rPr>
                <w:rFonts w:ascii="Calibri" w:cs="Calibri" w:eastAsia="Calibri" w:hAnsi="Calibri"/>
                <w:b w:val="false"/>
                <w:bCs w:val="false"/>
                <w:color w:val="000000"/>
                <w:sz w:val="19"/>
                <w:szCs w:val="19"/>
              </w:rPr>
              <w:t xml:space="preserve">Exabytes Malaysia Data Center</w:t>
            </w:r>
          </w:p>
        </w:tc>
        <w:tc>
          <w:tcPr>
            <w:tcW w:type="dxa" w:w="6400"/>
            <w:vAlign w:val="center"/>
          </w:tcPr>
          <w:p>
            <w:r>
              <w:rPr>
                <w:rFonts w:ascii="Calibri" w:cs="Calibri" w:eastAsia="Calibri" w:hAnsi="Calibri"/>
                <w:b w:val="false"/>
                <w:bCs w:val="false"/>
                <w:color w:val="000000"/>
                <w:sz w:val="19"/>
                <w:szCs w:val="19"/>
              </w:rPr>
              <w:t xml:space="preserve">City field says Kuala Lumpur; coordinate resolves to Penang.</w:t>
            </w:r>
          </w:p>
        </w:tc>
      </w:tr>
    </w:tbl>
    <w:p>
      <w:pPr>
        <w:pBdr>
          <w:left w:val="single" w:color="999999" w:sz="12" w:space="8"/>
        </w:pBdr>
        <w:spacing w:after="160"/>
        <w:ind w:left="200"/>
      </w:pPr>
      <w:r>
        <w:rPr>
          <w:rFonts w:ascii="Calibri" w:cs="Calibri" w:eastAsia="Calibri" w:hAnsi="Calibri"/>
          <w:i/>
          <w:iCs/>
          <w:color w:val="555555"/>
          <w:sz w:val="20"/>
          <w:szCs w:val="20"/>
        </w:rPr>
        <w:t xml:space="preserve">Digital Halo JHB1 is the most serious finding in this report: it is currently included in the master database as a Malaysian facility, and its coordinate is not merely imprecise but resolves to a different country entirely. This points to a specific, previously undocumented failure mode: for at least one facility, the geocoding step returned a plausible-looking but entirely wrong coordinate that none of the existing checks (duplicate-coordinate clustering, border-touching, vegetation/water masking) were designed to catch, since a single, geometrically well-formed box in a different country looks identical to a correct one under every check applied so far. The master database's QA_Notes field has been updated to flag all 9 buildings identified across both rounds of this report; Digital Halo JHB1's Status should be changed to EXCLUDED in the next database revision pending manual re-geocoding.</w:t>
      </w:r>
    </w:p>
    <w:p>
      <w:pPr>
        <w:pStyle w:val="Heading1"/>
        <w:spacing w:after="140" w:before="300"/>
      </w:pPr>
      <w:r>
        <w:t xml:space="preserve">5. Further Finding: STT Johor 1 / Empyrion Digital MY1 (Discovered During Deforestation Rollout)</w:t>
      </w:r>
    </w:p>
    <w:p>
      <w:pPr>
        <w:spacing w:after="150"/>
      </w:pPr>
      <w:r>
        <w:rPr>
          <w:rFonts w:ascii="Calibri" w:cs="Calibri" w:eastAsia="Calibri" w:hAnsi="Calibri"/>
          <w:b w:val="false"/>
          <w:bCs w:val="false"/>
          <w:i w:val="false"/>
          <w:iCs w:val="false"/>
          <w:sz w:val="22"/>
          <w:szCs w:val="22"/>
        </w:rPr>
        <w:t xml:space="preserve">A second country-level geocoding error was discovered during the subsequent full-dataset land-cover change rollout (companion methodology, Section 7.5), independently of the checks in Sections 3 and 4 above. The corridor grouping STT Johor 1 and Empyrion Digital MY1 (2 buildings, single-linkage clustered by coordinate proximity) was submitted to Global Forest Watch as a Johor, Malaysia area of interest, and returned a marine area of interest (181.64 ha, predominantly open water) rather than a terrestrial Johor location. Visual inspection of the drawn area of interest on the underlying map shows Downtown Core and Marina Bay, Singapore, not Johor Bahru. This is the same failure mode as Digital Halo JHB1 (Section 4.2): a geocoding step that returned a plausible-looking but entirely wrong coordinate, in this case in a neighbouring country rather than a distant one, which made it harder to catch on a coarse region-plausibility check keyed to Malaysian state boundaries alone.</w:t>
      </w:r>
    </w:p>
    <w:p>
      <w:pPr>
        <w:pBdr>
          <w:left w:val="single" w:color="999999" w:sz="12" w:space="8"/>
        </w:pBdr>
        <w:spacing w:after="160"/>
        <w:ind w:left="200"/>
      </w:pPr>
      <w:r>
        <w:rPr>
          <w:rFonts w:ascii="Calibri" w:cs="Calibri" w:eastAsia="Calibri" w:hAnsi="Calibri"/>
          <w:i/>
          <w:iCs/>
          <w:color w:val="555555"/>
          <w:sz w:val="20"/>
          <w:szCs w:val="20"/>
        </w:rPr>
        <w:t xml:space="preserve">Both buildings in this corridor (STT Johor 1 and Empyrion Digital MY1) should be treated as EXCLUDED pending re-geocoding, on the same basis as Digital Halo JHB1, and are not included in either the resource-estimation aggregate or the land-cover change aggregate reported in the companion methodology and valuation paper. This brings the total count of buildings with a confirmed out-of-country coordinate to 3 of 71 (4.2%), across two independent discovery routes (the coordinate-region plausibility check in Section 4.2, and direct visual inspection during the land-cover change rollout), which suggests the true rate of this specific failure mode may not yet be fully characterised by either check alone.</w:t>
      </w:r>
    </w:p>
    <w:p>
      <w:pPr>
        <w:pStyle w:val="Heading1"/>
        <w:spacing w:after="140" w:before="300"/>
      </w:pPr>
      <w:r>
        <w:t xml:space="preserve">6. Recommended Follow-Up</w:t>
      </w:r>
    </w:p>
    <w:p>
      <w:pPr>
        <w:spacing w:after="150"/>
      </w:pPr>
      <w:r>
        <w:rPr>
          <w:rFonts w:ascii="Calibri" w:cs="Calibri" w:eastAsia="Calibri" w:hAnsi="Calibri"/>
          <w:b w:val="false"/>
          <w:bCs w:val="false"/>
          <w:i w:val="false"/>
          <w:iCs w:val="false"/>
          <w:sz w:val="22"/>
          <w:szCs w:val="22"/>
        </w:rPr>
        <w:t xml:space="preserve">Before the database is treated as final for publication or citation: reclassify Digital Halo JHB1 as EXCLUDED and re-geocode it from the original source address; extend the border-touching/full-frame check to run automatically as part of the standard pipeline output rather than as a separate manual re-check (it is currently implemented in validate_bboxes.py but was, until this report, only applied to the original detector's output, not the redesigned detector's); add a coordinate-region plausibility check of the kind used in Section 4.2 as a standing pipeline step, since it caught a country-level error that no existing check was designed to catch; and treat the City field as unverified metadata, not a validated attribute, pending a full manual re-check of all 71 records.</w:t>
      </w:r>
    </w:p>
    <w:p>
      <w:pPr>
        <w:spacing w:after="150"/>
      </w:pPr>
      <w:r>
        <w:rPr>
          <w:rFonts w:ascii="Calibri" w:cs="Calibri" w:eastAsia="Calibri" w:hAnsi="Calibri"/>
          <w:b w:val="false"/>
          <w:bCs w:val="false"/>
          <w:i w:val="false"/>
          <w:iCs w:val="false"/>
          <w:sz w:val="22"/>
          <w:szCs w:val="22"/>
        </w:rPr>
        <w:t xml:space="preserve">The 9 buildings flagged across both the manual sample and the full-dataset re-check (12.7% of 71) represent a meaningful, disclosable error rate. This does not overturn the pipeline's overall detection validation (Section 3.2/3.4 of the full methodology, based on a larger prior audit of the original detector), but it does mean the current dataset should be described as reviewed and substantially reliable, not fully verified, in any external-facing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2026-08-20T10:08:23.574Z</dcterms:created>
  <dcterms:modified xsi:type="dcterms:W3CDTF">2026-08-20T10:08:23.574Z</dcterms:modified>
</cp:coreProperties>
</file>

<file path=docProps/custom.xml><?xml version="1.0" encoding="utf-8"?>
<Properties xmlns="http://schemas.openxmlformats.org/officeDocument/2006/custom-properties" xmlns:vt="http://schemas.openxmlformats.org/officeDocument/2006/docPropsVTypes"/>
</file>