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CHÍNH PHỦ</w:t>
      </w:r>
    </w:p>
    <w:p>
      <w:pPr>
        <w:pStyle w:val="Heading1"/>
      </w:pPr>
      <w:r>
        <w:t>NGHỊ ĐỊNH</w:t>
      </w:r>
    </w:p>
    <w:p>
      <w:r>
        <w:t>Số: 105/2021/NĐ-CP</w:t>
      </w:r>
    </w:p>
    <w:p>
      <w:r>
        <w:t>Quy định chi tiết và hướng dẫn thi hành một số điều của Luật Phòng, chống ma tuý</w:t>
      </w:r>
    </w:p>
    <w:p>
      <w:r>
        <w:t>Ngày ban hành: 04 tháng 12 năm 2021</w:t>
      </w:r>
    </w:p>
    <w:p>
      <w:pPr>
        <w:pStyle w:val="Heading2"/>
      </w:pPr>
      <w:r>
        <w:t>Chương I: QUY ĐỊNH CHUNG</w:t>
      </w:r>
    </w:p>
    <w:p>
      <w:pPr>
        <w:pStyle w:val="Heading3"/>
      </w:pPr>
      <w:r>
        <w:t>Điều 1. Phạm vi điều chỉnh</w:t>
      </w:r>
    </w:p>
    <w:p>
      <w:r>
        <w:t>Nghị định này quy định chi tiết và hướng dẫn thi hành một số điều của Luật Phòng, chống ma tuý số 73/2021/QH15 về:</w:t>
        <w:br/>
        <w:t>1. Danh mục các chất ma tuý, tiền chất;</w:t>
        <w:br/>
        <w:t>2. Quản lý, sử dụng thuốc gây nghiện, thuốc hướng thần, thuốc tiền chất;</w:t>
        <w:br/>
        <w:t>3. Kiểm soát các hoạt động hợp pháp liên quan đến ma tuý;</w:t>
        <w:br/>
        <w:t>4. Cai nghiện ma tuý tự nguyện tại gia đình, cộng đồng.</w:t>
      </w:r>
    </w:p>
    <w:p>
      <w:pPr>
        <w:pStyle w:val="Heading2"/>
      </w:pPr>
      <w:r>
        <w:t>Chương II: DANH MỤC CHẤT MA TUÝ VÀ TIỀN CHẤT</w:t>
      </w:r>
    </w:p>
    <w:p>
      <w:pPr>
        <w:pStyle w:val="Heading3"/>
      </w:pPr>
      <w:r>
        <w:t>Điều 3. Danh mục các chất ma tuý</w:t>
      </w:r>
    </w:p>
    <w:p>
      <w:r>
        <w:t>1. Danh mục I gồm các chất ma tuý tuyệt đối cấm sử dụng trong y học và đời sống xã hội như: Heroin (Diacetylmorphin), Cocain, MDMA (Ecstasy), Methamphetamine (Ma túy đá), Cannabis (Cần sa)...</w:t>
        <w:br/>
        <w:t>2. Danh mục II gồm các chất ma tuý được dùng hạn chế trong y học như: Morphin, Codein, Fentanyl, Pethidin...</w:t>
        <w:br/>
        <w:t>3. Danh mục III gồm các chất hướng thần được dùng hạn chế trong y học và đời sống xã hội.</w:t>
      </w:r>
    </w:p>
    <w:p>
      <w:pPr>
        <w:pStyle w:val="Heading2"/>
      </w:pPr>
      <w:r>
        <w:t>Chương III: KIỂM SOÁT HOẠT ĐỘNG HỢP PHÁP</w:t>
      </w:r>
    </w:p>
    <w:p>
      <w:pPr>
        <w:pStyle w:val="Heading3"/>
      </w:pPr>
      <w:r>
        <w:t>Điều 10. Điều kiện kinh doanh tiền chất công nghiệp</w:t>
      </w:r>
    </w:p>
    <w:p>
      <w:r>
        <w:t>Tổ chức, cá nhân được phép kinh doanh tiền chất công nghiệp khi đáp ứng đầy đủ các điều kiện sau:</w:t>
        <w:br/>
        <w:t>1. Được thành lập và hoạt động theo quy định của pháp luật;</w:t>
        <w:br/>
        <w:t>2. Có kho chứa, thiết bị bảo quản đáp ứng yêu cầu kỹ thuật;</w:t>
        <w:br/>
        <w:t>3. Có hệ thống quản lý theo dõi, kiểm kê tiền chất;</w:t>
        <w:br/>
        <w:t>4. Người quản lý, nhân viên trực tiếp làm việc với tiền chất phải được đào tạo.</w:t>
      </w:r>
    </w:p>
    <w:p>
      <w:pPr>
        <w:pStyle w:val="Heading2"/>
      </w:pPr>
      <w:r>
        <w:t>Chương IV: CAI NGHIỆN TỰ NGUYỆN TẠI GIA ĐÌNH, CỘNG ĐỒNG</w:t>
      </w:r>
    </w:p>
    <w:p>
      <w:pPr>
        <w:pStyle w:val="Heading3"/>
      </w:pPr>
      <w:r>
        <w:t>Điều 15. Quy trình cai nghiện tại gia đình</w:t>
      </w:r>
    </w:p>
    <w:p>
      <w:r>
        <w:t>1. Người nghiện nộp đơn đăng ký cai nghiện tại Ủy ban nhân dân cấp xã.</w:t>
        <w:br/>
        <w:t>2. Ủy ban nhân dân cấp xã xác nhận tình trạng nghiện và lập kế hoạch hỗ trợ.</w:t>
        <w:br/>
        <w:t>3. Người cai nghiện được cấp phát thuốc hỗ trợ cai nghiện (nếu cần).</w:t>
        <w:br/>
        <w:t>4. Thời gian cai nghiện tối thiểu 06 tháng; có thể kéo dài theo nhu cầu.</w:t>
        <w:br/>
        <w:t>5. Sau cai nghiện, người được cai nghiện được quản lý tái hòa nhập cộng đồng trong thời gian ít nhất 12 tháng.</w:t>
      </w:r>
    </w:p>
    <w:p>
      <w:pPr>
        <w:pStyle w:val="Heading3"/>
      </w:pPr>
      <w:r>
        <w:t>Điều 20. Hỗ trợ chi phí cai nghiện</w:t>
      </w:r>
    </w:p>
    <w:p>
      <w:r>
        <w:t>1. Người thuộc hộ nghèo, cận nghèo được hỗ trợ toàn bộ chi phí cai nghiện.</w:t>
        <w:br/>
        <w:t>2. Người không thuộc hộ nghèo, cận nghèo được hỗ trợ 50% chi phí.</w:t>
        <w:br/>
        <w:t>3. Nguồn kinh phí hỗ trợ từ ngân sách nhà nước và các nguồn hợp pháp khác.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