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226A" w:rsidRPr="0020226A" w:rsidRDefault="0020226A" w:rsidP="00D13FF3">
      <w:pPr>
        <w:pStyle w:val="ListParagraph"/>
        <w:numPr>
          <w:ilvl w:val="0"/>
          <w:numId w:val="1"/>
        </w:numPr>
        <w:spacing w:after="13" w:line="360" w:lineRule="auto"/>
        <w:ind w:left="0"/>
        <w:jc w:val="both"/>
        <w:rPr>
          <w:rFonts w:ascii="Times New Roman" w:hAnsi="Times New Roman" w:cs="Times New Roman"/>
        </w:rPr>
      </w:pPr>
      <w:r w:rsidRPr="0020226A">
        <w:rPr>
          <w:rFonts w:ascii="Times New Roman" w:hAnsi="Times New Roman" w:cs="Times New Roman"/>
        </w:rPr>
        <w:t>Геометрическая оптимизация всех рассмотренных комплексов меди была проведена в приближении MP2, в то время как анализ вертикальных возбуждений выполнялся с использованием метода TDDFT. Чем обоснован выбор такой расчетной схемы и насколько методологически согласован совместный анализ результатов, полученных методами, принципиально по-разному учитывающими электронную корреляцию?</w:t>
      </w:r>
    </w:p>
    <w:p w:rsidR="00360B07" w:rsidRDefault="00360B07" w:rsidP="00D13FF3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:rsidR="00974FDE" w:rsidRDefault="00434BA0" w:rsidP="00974FDE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310C3E">
        <w:rPr>
          <w:rFonts w:ascii="Times New Roman" w:hAnsi="Times New Roman" w:cs="Times New Roman"/>
          <w:u w:val="single"/>
          <w:lang w:val="ru-RU"/>
        </w:rPr>
        <w:t>Ответ:</w:t>
      </w:r>
      <w:r>
        <w:rPr>
          <w:rFonts w:ascii="Times New Roman" w:hAnsi="Times New Roman" w:cs="Times New Roman"/>
          <w:lang w:val="ru-RU"/>
        </w:rPr>
        <w:t xml:space="preserve"> Выбор высокоуровневого метода оптимизации </w:t>
      </w:r>
      <w:r>
        <w:rPr>
          <w:rFonts w:ascii="Times New Roman" w:hAnsi="Times New Roman" w:cs="Times New Roman"/>
          <w:lang w:val="en-US"/>
        </w:rPr>
        <w:t>MP</w:t>
      </w:r>
      <w:r w:rsidRPr="00434BA0">
        <w:rPr>
          <w:rFonts w:ascii="Times New Roman" w:hAnsi="Times New Roman" w:cs="Times New Roman"/>
          <w:lang w:val="ru-RU"/>
        </w:rPr>
        <w:t xml:space="preserve">2 </w:t>
      </w:r>
      <w:r>
        <w:rPr>
          <w:rFonts w:ascii="Times New Roman" w:hAnsi="Times New Roman" w:cs="Times New Roman"/>
          <w:lang w:val="ru-RU"/>
        </w:rPr>
        <w:t xml:space="preserve">обоснован чувствительностью референсного метода </w:t>
      </w:r>
      <w:r>
        <w:rPr>
          <w:rFonts w:ascii="Times New Roman" w:hAnsi="Times New Roman" w:cs="Times New Roman"/>
          <w:lang w:val="en-US"/>
        </w:rPr>
        <w:t>EOM</w:t>
      </w:r>
      <w:r w:rsidRPr="00434BA0"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  <w:lang w:val="en-US"/>
        </w:rPr>
        <w:t>CCSD</w:t>
      </w:r>
      <w:r>
        <w:rPr>
          <w:rFonts w:ascii="Times New Roman" w:hAnsi="Times New Roman" w:cs="Times New Roman"/>
          <w:lang w:val="ru-RU"/>
        </w:rPr>
        <w:t xml:space="preserve"> к геометрическим параметрам объекта. </w:t>
      </w:r>
      <w:r w:rsidR="00D13FF3">
        <w:rPr>
          <w:rFonts w:ascii="Times New Roman" w:hAnsi="Times New Roman" w:cs="Times New Roman"/>
          <w:lang w:val="ru-RU"/>
        </w:rPr>
        <w:t xml:space="preserve">Для сравнительного анализа </w:t>
      </w:r>
      <w:r w:rsidR="00D13FF3">
        <w:rPr>
          <w:rFonts w:ascii="Times New Roman" w:hAnsi="Times New Roman" w:cs="Times New Roman"/>
          <w:lang w:val="en-US"/>
        </w:rPr>
        <w:t>DFT</w:t>
      </w:r>
      <w:r w:rsidR="00D13FF3" w:rsidRPr="00D13FF3">
        <w:rPr>
          <w:rFonts w:ascii="Times New Roman" w:hAnsi="Times New Roman" w:cs="Times New Roman"/>
          <w:lang w:val="ru-RU"/>
        </w:rPr>
        <w:t xml:space="preserve"> </w:t>
      </w:r>
      <w:r w:rsidR="00D13FF3">
        <w:rPr>
          <w:rFonts w:ascii="Times New Roman" w:hAnsi="Times New Roman" w:cs="Times New Roman"/>
          <w:lang w:val="ru-RU"/>
        </w:rPr>
        <w:t xml:space="preserve">методов с референсным необходима согласованность геометрии </w:t>
      </w:r>
      <w:r w:rsidR="00A10AFB">
        <w:rPr>
          <w:rFonts w:ascii="Times New Roman" w:hAnsi="Times New Roman" w:cs="Times New Roman"/>
          <w:lang w:val="ru-RU"/>
        </w:rPr>
        <w:t>рассматриваемого объекта</w:t>
      </w:r>
      <w:r w:rsidR="00D13FF3">
        <w:rPr>
          <w:rFonts w:ascii="Times New Roman" w:hAnsi="Times New Roman" w:cs="Times New Roman"/>
          <w:lang w:val="ru-RU"/>
        </w:rPr>
        <w:t>, поэтому для этих расчётов</w:t>
      </w:r>
      <w:r w:rsidR="002176F8">
        <w:rPr>
          <w:rFonts w:ascii="Times New Roman" w:hAnsi="Times New Roman" w:cs="Times New Roman"/>
          <w:lang w:val="ru-RU"/>
        </w:rPr>
        <w:t xml:space="preserve"> также</w:t>
      </w:r>
      <w:r w:rsidR="00D13FF3">
        <w:rPr>
          <w:rFonts w:ascii="Times New Roman" w:hAnsi="Times New Roman" w:cs="Times New Roman"/>
          <w:lang w:val="ru-RU"/>
        </w:rPr>
        <w:t xml:space="preserve"> были взяты оптимизированные таким методом </w:t>
      </w:r>
      <w:r w:rsidR="00A10AFB">
        <w:rPr>
          <w:rFonts w:ascii="Times New Roman" w:hAnsi="Times New Roman" w:cs="Times New Roman"/>
          <w:lang w:val="ru-RU"/>
        </w:rPr>
        <w:t>системы</w:t>
      </w:r>
      <w:r w:rsidR="00BE6310">
        <w:rPr>
          <w:rFonts w:ascii="Times New Roman" w:hAnsi="Times New Roman" w:cs="Times New Roman"/>
          <w:lang w:val="ru-RU"/>
        </w:rPr>
        <w:t>.</w:t>
      </w:r>
    </w:p>
    <w:p w:rsidR="00781AA5" w:rsidRPr="00781AA5" w:rsidRDefault="00781AA5">
      <w:pPr>
        <w:rPr>
          <w:rFonts w:ascii="Times New Roman" w:hAnsi="Times New Roman" w:cs="Times New Roman"/>
          <w:lang w:val="ru-RU"/>
        </w:rPr>
      </w:pPr>
    </w:p>
    <w:p w:rsidR="00A4392C" w:rsidRPr="00781AA5" w:rsidRDefault="0020226A" w:rsidP="00D13FF3">
      <w:pPr>
        <w:pStyle w:val="ListParagraph"/>
        <w:numPr>
          <w:ilvl w:val="0"/>
          <w:numId w:val="1"/>
        </w:numPr>
        <w:spacing w:line="36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781AA5">
        <w:rPr>
          <w:rFonts w:ascii="Times New Roman" w:hAnsi="Times New Roman" w:cs="Times New Roman"/>
        </w:rPr>
        <w:t>Для большинства рассмотренных в работе функционалов использовалась дисперсионная поправка Гримме уровня D3, тогда как для функционала ωB97X-D по умолчанию применяется поправка D2. Насколько корректно прямое сравнение полученных результатов в данном случае?</w:t>
      </w:r>
    </w:p>
    <w:p w:rsidR="00781AA5" w:rsidRPr="006B7003" w:rsidRDefault="00781AA5" w:rsidP="00D13FF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81AA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69922E1A">
            <wp:simplePos x="0" y="0"/>
            <wp:positionH relativeFrom="column">
              <wp:posOffset>2890520</wp:posOffset>
            </wp:positionH>
            <wp:positionV relativeFrom="paragraph">
              <wp:posOffset>1248410</wp:posOffset>
            </wp:positionV>
            <wp:extent cx="3673033" cy="880110"/>
            <wp:effectExtent l="0" t="0" r="0" b="0"/>
            <wp:wrapNone/>
            <wp:docPr id="1030378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8536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033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7003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7766142D">
            <wp:simplePos x="0" y="0"/>
            <wp:positionH relativeFrom="column">
              <wp:posOffset>2881042</wp:posOffset>
            </wp:positionH>
            <wp:positionV relativeFrom="paragraph">
              <wp:posOffset>215900</wp:posOffset>
            </wp:positionV>
            <wp:extent cx="3680535" cy="930508"/>
            <wp:effectExtent l="0" t="0" r="2540" b="0"/>
            <wp:wrapNone/>
            <wp:docPr id="745988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8685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535" cy="930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3F9D83" wp14:editId="048A94FE">
            <wp:extent cx="3132499" cy="2397113"/>
            <wp:effectExtent l="0" t="0" r="4445" b="3810"/>
            <wp:docPr id="1789794018" name="Picture 1" descr="A graph of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94018" name="Picture 1" descr="A graph of a number of number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78" cy="24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2C" w:rsidRPr="00781AA5" w:rsidRDefault="006B7003" w:rsidP="00D13FF3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781AA5">
        <w:rPr>
          <w:rFonts w:ascii="Times New Roman" w:hAnsi="Times New Roman" w:cs="Times New Roman"/>
          <w:u w:val="single"/>
          <w:lang w:val="ru-RU"/>
        </w:rPr>
        <w:t>Ответ:</w:t>
      </w:r>
      <w:r>
        <w:rPr>
          <w:rFonts w:ascii="Times New Roman" w:hAnsi="Times New Roman" w:cs="Times New Roman"/>
          <w:lang w:val="ru-RU"/>
        </w:rPr>
        <w:t xml:space="preserve"> Данное </w:t>
      </w:r>
      <w:r w:rsidR="00781AA5">
        <w:rPr>
          <w:rFonts w:ascii="Times New Roman" w:hAnsi="Times New Roman" w:cs="Times New Roman"/>
          <w:lang w:val="ru-RU"/>
        </w:rPr>
        <w:t xml:space="preserve">сравнение является всё ещё разумным. Поправка на дисперсию вносит корректировку на учёт дальних взаимодействий для данного функционала, однако основной вклад в электронные переходы вносит как раз </w:t>
      </w:r>
      <w:r w:rsidR="00520C78">
        <w:rPr>
          <w:rFonts w:ascii="Times New Roman" w:hAnsi="Times New Roman" w:cs="Times New Roman"/>
          <w:lang w:val="ru-RU"/>
        </w:rPr>
        <w:t xml:space="preserve">выбор </w:t>
      </w:r>
      <w:r w:rsidR="00781AA5">
        <w:rPr>
          <w:rFonts w:ascii="Times New Roman" w:hAnsi="Times New Roman" w:cs="Times New Roman"/>
          <w:lang w:val="ru-RU"/>
        </w:rPr>
        <w:t>обменно-корреляционн</w:t>
      </w:r>
      <w:r w:rsidR="00520C78">
        <w:rPr>
          <w:rFonts w:ascii="Times New Roman" w:hAnsi="Times New Roman" w:cs="Times New Roman"/>
          <w:lang w:val="ru-RU"/>
        </w:rPr>
        <w:t>ого</w:t>
      </w:r>
      <w:r w:rsidR="00781AA5">
        <w:rPr>
          <w:rFonts w:ascii="Times New Roman" w:hAnsi="Times New Roman" w:cs="Times New Roman"/>
          <w:lang w:val="ru-RU"/>
        </w:rPr>
        <w:t xml:space="preserve"> функционал</w:t>
      </w:r>
      <w:r w:rsidR="00520C78">
        <w:rPr>
          <w:rFonts w:ascii="Times New Roman" w:hAnsi="Times New Roman" w:cs="Times New Roman"/>
          <w:lang w:val="ru-RU"/>
        </w:rPr>
        <w:t>а</w:t>
      </w:r>
      <w:r w:rsidR="00781AA5">
        <w:rPr>
          <w:rFonts w:ascii="Times New Roman" w:hAnsi="Times New Roman" w:cs="Times New Roman"/>
          <w:lang w:val="ru-RU"/>
        </w:rPr>
        <w:t xml:space="preserve">. Безусловно, с поправкой </w:t>
      </w:r>
      <w:r w:rsidR="00781AA5">
        <w:rPr>
          <w:rFonts w:ascii="Times New Roman" w:hAnsi="Times New Roman" w:cs="Times New Roman"/>
          <w:lang w:val="en-US"/>
        </w:rPr>
        <w:t>D</w:t>
      </w:r>
      <w:r w:rsidR="00781AA5" w:rsidRPr="006C1FAD">
        <w:rPr>
          <w:rFonts w:ascii="Times New Roman" w:hAnsi="Times New Roman" w:cs="Times New Roman"/>
          <w:lang w:val="ru-RU"/>
        </w:rPr>
        <w:t xml:space="preserve">3 </w:t>
      </w:r>
      <w:r w:rsidR="006C1FAD">
        <w:rPr>
          <w:rFonts w:ascii="Times New Roman" w:hAnsi="Times New Roman" w:cs="Times New Roman"/>
          <w:lang w:val="ru-RU"/>
        </w:rPr>
        <w:t>точность немного улучшается, но всё же незначительно.</w:t>
      </w:r>
    </w:p>
    <w:p w:rsidR="006B7003" w:rsidRPr="00781AA5" w:rsidRDefault="006B7003" w:rsidP="00D13FF3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:rsidR="0020226A" w:rsidRPr="00AE08C1" w:rsidRDefault="0020226A" w:rsidP="00D13FF3">
      <w:pPr>
        <w:pStyle w:val="ListParagraph"/>
        <w:numPr>
          <w:ilvl w:val="0"/>
          <w:numId w:val="1"/>
        </w:numPr>
        <w:spacing w:after="13" w:line="360" w:lineRule="auto"/>
        <w:ind w:left="0"/>
        <w:jc w:val="both"/>
        <w:rPr>
          <w:rFonts w:ascii="Times New Roman" w:hAnsi="Times New Roman" w:cs="Times New Roman"/>
        </w:rPr>
      </w:pPr>
      <w:r w:rsidRPr="0020226A">
        <w:rPr>
          <w:rFonts w:ascii="Times New Roman" w:hAnsi="Times New Roman" w:cs="Times New Roman"/>
        </w:rPr>
        <w:t>Почему в качестве референса для оценки точности был выбран теоретический спектр, рассчитанный методом EOM-CCSD, а не экспериментальные спектры поглощения? Представляется, что расчет величины RMSE более объективно проводить по отношению к экспериментальным данным (в тех случаях, когда они доступны).</w:t>
      </w:r>
    </w:p>
    <w:p w:rsidR="00AE08C1" w:rsidRDefault="00AE08C1" w:rsidP="00AE08C1">
      <w:pPr>
        <w:spacing w:after="13" w:line="360" w:lineRule="auto"/>
        <w:jc w:val="both"/>
        <w:rPr>
          <w:rFonts w:ascii="Times New Roman" w:hAnsi="Times New Roman" w:cs="Times New Roman"/>
          <w:lang w:val="ru-RU"/>
        </w:rPr>
      </w:pPr>
    </w:p>
    <w:p w:rsidR="00AE08C1" w:rsidRPr="00AC6EC4" w:rsidRDefault="00AE08C1" w:rsidP="00AE08C1">
      <w:pPr>
        <w:spacing w:after="13" w:line="360" w:lineRule="auto"/>
        <w:jc w:val="both"/>
        <w:rPr>
          <w:rFonts w:ascii="Times New Roman" w:hAnsi="Times New Roman" w:cs="Times New Roman"/>
          <w:lang w:val="ru-RU"/>
        </w:rPr>
      </w:pPr>
      <w:r w:rsidRPr="00AE08C1">
        <w:rPr>
          <w:rFonts w:ascii="Times New Roman" w:hAnsi="Times New Roman" w:cs="Times New Roman"/>
          <w:u w:val="single"/>
          <w:lang w:val="ru-RU"/>
        </w:rPr>
        <w:t>Ответ:</w:t>
      </w:r>
      <w:r w:rsidRPr="00AE08C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Ответ от части дан в формулировке вопроса</w:t>
      </w:r>
      <w:r w:rsidRPr="00AE08C1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ru-RU"/>
        </w:rPr>
        <w:t xml:space="preserve">к сожалению, из экспериментальных </w:t>
      </w:r>
      <w:r w:rsidR="00AC6EC4">
        <w:rPr>
          <w:rFonts w:ascii="Times New Roman" w:hAnsi="Times New Roman" w:cs="Times New Roman"/>
          <w:lang w:val="ru-RU"/>
        </w:rPr>
        <w:t>спектров поглощения</w:t>
      </w:r>
      <w:r>
        <w:rPr>
          <w:rFonts w:ascii="Times New Roman" w:hAnsi="Times New Roman" w:cs="Times New Roman"/>
          <w:lang w:val="ru-RU"/>
        </w:rPr>
        <w:t xml:space="preserve"> невозможно извлечь информацию об энерг</w:t>
      </w:r>
      <w:r w:rsidR="004A7D7B">
        <w:rPr>
          <w:rFonts w:ascii="Times New Roman" w:hAnsi="Times New Roman" w:cs="Times New Roman"/>
          <w:lang w:val="ru-RU"/>
        </w:rPr>
        <w:t>ии отдельных электронных</w:t>
      </w:r>
      <w:r>
        <w:rPr>
          <w:rFonts w:ascii="Times New Roman" w:hAnsi="Times New Roman" w:cs="Times New Roman"/>
          <w:lang w:val="ru-RU"/>
        </w:rPr>
        <w:t xml:space="preserve"> переходов. Так как работа является преимущественно теоретической, логично проводить оценку методов </w:t>
      </w:r>
      <w:r>
        <w:rPr>
          <w:rFonts w:ascii="Times New Roman" w:hAnsi="Times New Roman" w:cs="Times New Roman"/>
          <w:lang w:val="en-US"/>
        </w:rPr>
        <w:t>DFT</w:t>
      </w:r>
      <w:r>
        <w:rPr>
          <w:rFonts w:ascii="Times New Roman" w:hAnsi="Times New Roman" w:cs="Times New Roman"/>
          <w:lang w:val="ru-RU"/>
        </w:rPr>
        <w:t xml:space="preserve"> относительно самого точного доступного метода.</w:t>
      </w:r>
      <w:r w:rsidR="00452E79">
        <w:rPr>
          <w:rFonts w:ascii="Times New Roman" w:hAnsi="Times New Roman" w:cs="Times New Roman"/>
          <w:lang w:val="ru-RU"/>
        </w:rPr>
        <w:t xml:space="preserve"> Сравнение с экспериментом проведено скорее для подтверждения адекватности полученных результатов.</w:t>
      </w:r>
    </w:p>
    <w:p w:rsidR="0020226A" w:rsidRPr="009A5F5C" w:rsidRDefault="0020226A" w:rsidP="00D13FF3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:rsidR="002068E8" w:rsidRPr="006E09D4" w:rsidRDefault="0020226A" w:rsidP="00D13FF3">
      <w:pPr>
        <w:pStyle w:val="ListParagraph"/>
        <w:numPr>
          <w:ilvl w:val="0"/>
          <w:numId w:val="1"/>
        </w:numPr>
        <w:spacing w:after="13" w:line="360" w:lineRule="auto"/>
        <w:ind w:left="0"/>
        <w:jc w:val="both"/>
        <w:rPr>
          <w:rFonts w:ascii="Times New Roman" w:hAnsi="Times New Roman" w:cs="Times New Roman"/>
        </w:rPr>
      </w:pPr>
      <w:r w:rsidRPr="0020226A">
        <w:rPr>
          <w:rFonts w:ascii="Times New Roman" w:hAnsi="Times New Roman" w:cs="Times New Roman"/>
        </w:rPr>
        <w:t>Какое спиновое состояние принималось для комплексов меди при моделировании их основного и электронно-возбужденных состояний?</w:t>
      </w:r>
    </w:p>
    <w:p w:rsidR="006E09D4" w:rsidRPr="006E09D4" w:rsidRDefault="006E09D4" w:rsidP="006E09D4">
      <w:pPr>
        <w:pStyle w:val="ListParagraph"/>
        <w:spacing w:after="13" w:line="360" w:lineRule="auto"/>
        <w:ind w:left="0"/>
        <w:jc w:val="both"/>
        <w:rPr>
          <w:rFonts w:ascii="Times New Roman" w:hAnsi="Times New Roman" w:cs="Times New Roman"/>
        </w:rPr>
      </w:pPr>
    </w:p>
    <w:p w:rsidR="006E09D4" w:rsidRPr="00DD4D86" w:rsidRDefault="006E09D4" w:rsidP="006E09D4">
      <w:pPr>
        <w:spacing w:after="13" w:line="360" w:lineRule="auto"/>
        <w:jc w:val="both"/>
        <w:rPr>
          <w:rFonts w:ascii="Times New Roman" w:hAnsi="Times New Roman" w:cs="Times New Roman"/>
          <w:lang w:val="ru-RU"/>
        </w:rPr>
      </w:pPr>
      <w:r w:rsidRPr="00AE08C1">
        <w:rPr>
          <w:rFonts w:ascii="Times New Roman" w:hAnsi="Times New Roman" w:cs="Times New Roman"/>
          <w:u w:val="single"/>
          <w:lang w:val="ru-RU"/>
        </w:rPr>
        <w:t>Ответ</w:t>
      </w:r>
      <w:proofErr w:type="gramStart"/>
      <w:r w:rsidRPr="00AE08C1">
        <w:rPr>
          <w:rFonts w:ascii="Times New Roman" w:hAnsi="Times New Roman" w:cs="Times New Roman"/>
          <w:u w:val="single"/>
          <w:lang w:val="ru-RU"/>
        </w:rPr>
        <w:t>:</w:t>
      </w:r>
      <w:r w:rsidRPr="00AE08C1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При</w:t>
      </w:r>
      <w:proofErr w:type="gramEnd"/>
      <w:r>
        <w:rPr>
          <w:rFonts w:ascii="Times New Roman" w:hAnsi="Times New Roman" w:cs="Times New Roman"/>
          <w:lang w:val="ru-RU"/>
        </w:rPr>
        <w:t xml:space="preserve"> моделировании всех комплексов в основном состоянии предполагалось синглетное состояние меди.</w:t>
      </w:r>
      <w:r w:rsidR="00C94EE9">
        <w:rPr>
          <w:rFonts w:ascii="Times New Roman" w:hAnsi="Times New Roman" w:cs="Times New Roman"/>
          <w:lang w:val="ru-RU"/>
        </w:rPr>
        <w:t xml:space="preserve"> </w:t>
      </w:r>
    </w:p>
    <w:sectPr w:rsidR="006E09D4" w:rsidRPr="00DD4D86" w:rsidSect="0020226A">
      <w:pgSz w:w="11906" w:h="16838"/>
      <w:pgMar w:top="3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6230"/>
    <w:multiLevelType w:val="hybridMultilevel"/>
    <w:tmpl w:val="352C56CA"/>
    <w:lvl w:ilvl="0" w:tplc="2854AA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2962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6A"/>
    <w:rsid w:val="0020226A"/>
    <w:rsid w:val="002068E8"/>
    <w:rsid w:val="002176F8"/>
    <w:rsid w:val="00310C3E"/>
    <w:rsid w:val="00360B07"/>
    <w:rsid w:val="00386DD5"/>
    <w:rsid w:val="00434BA0"/>
    <w:rsid w:val="00452E79"/>
    <w:rsid w:val="004A7D7B"/>
    <w:rsid w:val="00520C78"/>
    <w:rsid w:val="006B7003"/>
    <w:rsid w:val="006C1FAD"/>
    <w:rsid w:val="006E09D4"/>
    <w:rsid w:val="00781AA5"/>
    <w:rsid w:val="00954B8E"/>
    <w:rsid w:val="00974FDE"/>
    <w:rsid w:val="009A5F5C"/>
    <w:rsid w:val="009B397C"/>
    <w:rsid w:val="00A10AFB"/>
    <w:rsid w:val="00A4392C"/>
    <w:rsid w:val="00AC6EC4"/>
    <w:rsid w:val="00AE08C1"/>
    <w:rsid w:val="00AE4BCD"/>
    <w:rsid w:val="00B1242F"/>
    <w:rsid w:val="00BE6310"/>
    <w:rsid w:val="00C94EE9"/>
    <w:rsid w:val="00CB15CE"/>
    <w:rsid w:val="00D0634A"/>
    <w:rsid w:val="00D13FF3"/>
    <w:rsid w:val="00DD4D86"/>
    <w:rsid w:val="00FF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16F37B"/>
  <w15:chartTrackingRefBased/>
  <w15:docId w15:val="{17E1F305-BE11-474B-8012-0EF64A79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Andreev</dc:creator>
  <cp:keywords/>
  <dc:description/>
  <cp:lastModifiedBy>Ivan Andreev</cp:lastModifiedBy>
  <cp:revision>26</cp:revision>
  <dcterms:created xsi:type="dcterms:W3CDTF">2026-05-19T08:40:00Z</dcterms:created>
  <dcterms:modified xsi:type="dcterms:W3CDTF">2026-05-19T15:38:00Z</dcterms:modified>
</cp:coreProperties>
</file>