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计算机学院关于硕士研究生毕业标准的规定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2018年入学的硕士研究生（包括学术型硕士、全日制专业型硕士）开始，对于未被学校抽中的学生，全部实行学院盲审。</w:t>
      </w:r>
    </w:p>
    <w:p>
      <w:pPr>
        <w:pStyle w:val="7"/>
        <w:wordWrap/>
        <w:adjustRightInd/>
        <w:spacing w:before="0" w:beforeAutospacing="0" w:after="0" w:afterAutospacing="0" w:line="600" w:lineRule="exact"/>
        <w:ind w:right="0"/>
        <w:textAlignment w:val="auto"/>
        <w:rPr>
          <w:rFonts w:hint="eastAsia" w:ascii="Times New Roman" w:hAnsi="Times New Roman" w:eastAsia="仿宋_GB2312" w:cs="Times New Roman"/>
          <w:kern w:val="2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学校抽中的盲审，达到学校免盲审标准的，按照学校规定免盲审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val="en-US" w:eastAsia="zh-CN"/>
        </w:rPr>
        <w:t>（学校标准）</w:t>
      </w:r>
      <w:r>
        <w:rPr>
          <w:rFonts w:hint="eastAsia"/>
          <w:sz w:val="28"/>
          <w:szCs w:val="28"/>
        </w:rPr>
        <w:t>为了鼓励硕士研究生结合学位论文工作发表高水平文章，已确定须盲评者</w:t>
      </w:r>
      <w:r>
        <w:rPr>
          <w:rFonts w:hint="eastAsia"/>
          <w:sz w:val="28"/>
          <w:szCs w:val="28"/>
          <w:lang w:eastAsia="zh-CN"/>
        </w:rPr>
        <w:t>以第一作者发表学术论文，</w:t>
      </w:r>
      <w:r>
        <w:rPr>
          <w:rFonts w:hint="eastAsia"/>
          <w:sz w:val="28"/>
          <w:szCs w:val="28"/>
        </w:rPr>
        <w:t>符合以下条件之一者可向校学位办申请免盲评，申请条件如下：</w:t>
      </w:r>
    </w:p>
    <w:p>
      <w:pPr>
        <w:pStyle w:val="7"/>
        <w:wordWrap/>
        <w:adjustRightInd/>
        <w:spacing w:before="0" w:beforeAutospacing="0" w:after="0" w:afterAutospacing="0" w:line="600" w:lineRule="exact"/>
        <w:ind w:left="0" w:leftChars="0" w:right="0" w:firstLine="560" w:firstLineChars="200"/>
        <w:textAlignment w:val="auto"/>
        <w:rPr>
          <w:rFonts w:hint="eastAsia" w:ascii="Times New Roman" w:hAnsi="Times New Roman" w:eastAsia="仿宋_GB2312" w:cs="Times New Roman"/>
          <w:kern w:val="2"/>
          <w:sz w:val="28"/>
          <w:szCs w:val="28"/>
        </w:rPr>
      </w:pP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eastAsia="zh-CN"/>
        </w:rPr>
        <w:t>）</w:t>
      </w:r>
      <w:r>
        <w:rPr>
          <w:rFonts w:ascii="Times New Roman" w:hAnsi="Times New Roman" w:eastAsia="仿宋_GB2312" w:cs="Times New Roman"/>
          <w:kern w:val="2"/>
          <w:sz w:val="28"/>
          <w:szCs w:val="28"/>
        </w:rPr>
        <w:t>在SCI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</w:rPr>
        <w:t>/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val="en-US" w:eastAsia="zh-CN"/>
        </w:rPr>
        <w:t>SSCI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</w:rPr>
        <w:t>/A&amp;HCI收录期刊或文集</w:t>
      </w:r>
      <w:r>
        <w:rPr>
          <w:rFonts w:ascii="Times New Roman" w:hAnsi="Times New Roman" w:eastAsia="仿宋_GB2312" w:cs="Times New Roman"/>
          <w:kern w:val="2"/>
          <w:sz w:val="28"/>
          <w:szCs w:val="28"/>
        </w:rPr>
        <w:t>发表学术论文至少1篇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</w:rPr>
        <w:t>（需提交期刊复印件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eastAsia="zh-CN"/>
        </w:rPr>
        <w:t>及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</w:rPr>
        <w:t>图书馆索引证明）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eastAsia="zh-CN"/>
        </w:rPr>
        <w:t>；</w:t>
      </w:r>
    </w:p>
    <w:p>
      <w:pPr>
        <w:pStyle w:val="7"/>
        <w:wordWrap/>
        <w:adjustRightInd/>
        <w:spacing w:before="0" w:beforeAutospacing="0" w:after="0" w:afterAutospacing="0" w:line="600" w:lineRule="exact"/>
        <w:ind w:left="0" w:leftChars="0" w:right="0" w:firstLine="560" w:firstLineChars="200"/>
        <w:textAlignment w:val="auto"/>
        <w:rPr>
          <w:rFonts w:hint="eastAsia" w:ascii="Times New Roman" w:hAnsi="Times New Roman" w:eastAsia="仿宋_GB2312" w:cs="Times New Roman"/>
          <w:kern w:val="2"/>
          <w:sz w:val="28"/>
          <w:szCs w:val="28"/>
        </w:rPr>
      </w:pP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eastAsia="zh-CN"/>
        </w:rPr>
        <w:t>）在</w:t>
      </w:r>
      <w:r>
        <w:rPr>
          <w:rFonts w:ascii="Times New Roman" w:hAnsi="Times New Roman" w:eastAsia="仿宋_GB2312" w:cs="Times New Roman"/>
          <w:kern w:val="2"/>
          <w:sz w:val="28"/>
          <w:szCs w:val="28"/>
        </w:rPr>
        <w:t>EI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</w:rPr>
        <w:t>/CSCD/</w:t>
      </w:r>
      <w:r>
        <w:rPr>
          <w:rFonts w:ascii="Times New Roman" w:hAnsi="Times New Roman" w:eastAsia="仿宋_GB2312" w:cs="Times New Roman"/>
          <w:kern w:val="2"/>
          <w:sz w:val="28"/>
          <w:szCs w:val="28"/>
        </w:rPr>
        <w:t>CSSCI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</w:rPr>
        <w:t>收录期刊或文集</w:t>
      </w:r>
      <w:r>
        <w:rPr>
          <w:rFonts w:ascii="Times New Roman" w:hAnsi="Times New Roman" w:eastAsia="仿宋_GB2312" w:cs="Times New Roman"/>
          <w:kern w:val="2"/>
          <w:sz w:val="28"/>
          <w:szCs w:val="28"/>
        </w:rPr>
        <w:t>发表学术论文至少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仿宋_GB2312" w:cs="Times New Roman"/>
          <w:kern w:val="2"/>
          <w:sz w:val="28"/>
          <w:szCs w:val="28"/>
        </w:rPr>
        <w:t>篇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</w:rPr>
        <w:t>（需提交期刊复印件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  <w:lang w:eastAsia="zh-CN"/>
        </w:rPr>
        <w:t>及</w:t>
      </w:r>
      <w:r>
        <w:rPr>
          <w:rFonts w:hint="eastAsia" w:ascii="Times New Roman" w:hAnsi="Times New Roman" w:eastAsia="仿宋_GB2312" w:cs="Times New Roman"/>
          <w:kern w:val="2"/>
          <w:sz w:val="28"/>
          <w:szCs w:val="28"/>
        </w:rPr>
        <w:t>图书馆索引证明）。</w:t>
      </w:r>
    </w:p>
    <w:p>
      <w:pPr>
        <w:pStyle w:val="8"/>
        <w:numPr>
          <w:numId w:val="0"/>
        </w:numPr>
        <w:rPr>
          <w:sz w:val="28"/>
          <w:szCs w:val="28"/>
        </w:rPr>
      </w:pPr>
    </w:p>
    <w:p>
      <w:pPr>
        <w:pStyle w:val="8"/>
        <w:numPr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sz w:val="28"/>
          <w:szCs w:val="28"/>
        </w:rPr>
        <w:t>学院盲审的学生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以第一作者发表学术论文，</w:t>
      </w:r>
      <w:r>
        <w:rPr>
          <w:sz w:val="28"/>
          <w:szCs w:val="28"/>
        </w:rPr>
        <w:t>发表SCI源刊论文</w:t>
      </w:r>
      <w:r>
        <w:rPr>
          <w:rFonts w:hint="eastAsia"/>
          <w:sz w:val="28"/>
          <w:szCs w:val="28"/>
        </w:rPr>
        <w:t>（含录用），或CCF</w:t>
      </w:r>
      <w:r>
        <w:rPr>
          <w:sz w:val="28"/>
          <w:szCs w:val="28"/>
        </w:rPr>
        <w:t xml:space="preserve"> A类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B类会议论文</w:t>
      </w:r>
      <w:r>
        <w:rPr>
          <w:rFonts w:hint="eastAsia"/>
          <w:sz w:val="28"/>
          <w:szCs w:val="28"/>
        </w:rPr>
        <w:t>（含录用），或《计算机学报》、《软件学报》、《电子学报》、《自动化学报》等一级学报论文（含录用），免学院盲审。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小标宋简体">
    <w:altName w:val="微软雅黑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styleId="7">
    <w:name w:val="HTML Address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172</Characters>
  <Lines>1</Lines>
  <Paragraphs>1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2018-06-05T09:14:00Z</dcterms:created>
  <dc:creator>thinkpad</dc:creator>
  <dcterms:modified xsi:type="dcterms:W3CDTF">2018-09-12T13:56:50Z</dcterms:modified>
  <dc:title>thinkpad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