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1: Cointegration &amp; Pairs Trading</w:t>
      </w:r>
    </w:p>
    <w:p>
      <w:pPr>
        <w:jc w:val="center"/>
      </w:pPr>
      <w:r>
        <w:rPr>
          <w:i/>
          <w:color w:val="555555"/>
        </w:rPr>
        <w:t>Concise Report Draft</w:t>
      </w:r>
    </w:p>
    <w:p>
      <w:r>
        <w:rPr>
          <w:b/>
        </w:rPr>
        <w:t xml:space="preserve">Team Information: </w:t>
      </w:r>
      <w:r>
        <w:t>[Fill in team member names and Andrew IDs]</w:t>
      </w:r>
    </w:p>
    <w:p>
      <w:pPr>
        <w:pStyle w:val="Heading1"/>
      </w:pPr>
      <w:r>
        <w:t>1. Overview</w:t>
      </w:r>
    </w:p>
    <w:p>
      <w:r>
        <w:t>This report applies a two-stage cointegration and pairs trading workflow to two selected pairs. Daily adjusted close prices were downloaded from Yahoo Finance using the yfinance Python package. To reduce look-ahead bias, the sample is separated into a formation period and a trading period.</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pPr>
              <w:spacing w:after="0"/>
            </w:pPr>
            <w:r>
              <w:rPr>
                <w:b/>
                <w:sz w:val="19"/>
              </w:rPr>
              <w:t>Category</w:t>
            </w:r>
          </w:p>
        </w:tc>
        <w:tc>
          <w:tcPr>
            <w:tcW w:type="dxa" w:w="1800"/>
            <w:tcMar>
              <w:top w:w="80" w:type="dxa"/>
              <w:start w:w="120" w:type="dxa"/>
              <w:bottom w:w="80" w:type="dxa"/>
              <w:end w:w="120" w:type="dxa"/>
            </w:tcMar>
            <w:vAlign w:val="center"/>
            <w:shd w:fill="E8EEF5"/>
          </w:tcPr>
          <w:p>
            <w:pPr>
              <w:spacing w:after="0"/>
            </w:pPr>
            <w:r>
              <w:rPr>
                <w:b/>
                <w:sz w:val="19"/>
              </w:rPr>
              <w:t>Pair</w:t>
            </w:r>
          </w:p>
        </w:tc>
        <w:tc>
          <w:tcPr>
            <w:tcW w:type="dxa" w:w="5760"/>
            <w:tcMar>
              <w:top w:w="80" w:type="dxa"/>
              <w:start w:w="120" w:type="dxa"/>
              <w:bottom w:w="80" w:type="dxa"/>
              <w:end w:w="120" w:type="dxa"/>
            </w:tcMar>
            <w:vAlign w:val="center"/>
            <w:shd w:fill="E8EEF5"/>
          </w:tcPr>
          <w:p>
            <w:pPr>
              <w:spacing w:after="0"/>
            </w:pPr>
            <w:r>
              <w:rPr>
                <w:b/>
                <w:sz w:val="19"/>
              </w:rPr>
              <w:t>Instruments</w:t>
            </w:r>
          </w:p>
        </w:tc>
      </w:tr>
      <w:tr>
        <w:tc>
          <w:tcPr>
            <w:tcW w:type="dxa" w:w="1800"/>
            <w:tcMar>
              <w:top w:w="80" w:type="dxa"/>
              <w:start w:w="120" w:type="dxa"/>
              <w:bottom w:w="80" w:type="dxa"/>
              <w:end w:w="120" w:type="dxa"/>
            </w:tcMar>
            <w:vAlign w:val="center"/>
          </w:tcPr>
          <w:p>
            <w:pPr>
              <w:spacing w:after="0"/>
            </w:pPr>
            <w:r>
              <w:rPr>
                <w:sz w:val="19"/>
              </w:rPr>
              <w:t>Stock pair</w:t>
            </w:r>
          </w:p>
        </w:tc>
        <w:tc>
          <w:tcPr>
            <w:tcW w:type="dxa" w:w="1800"/>
            <w:tcMar>
              <w:top w:w="80" w:type="dxa"/>
              <w:start w:w="120" w:type="dxa"/>
              <w:bottom w:w="80" w:type="dxa"/>
              <w:end w:w="120" w:type="dxa"/>
            </w:tcMar>
            <w:vAlign w:val="center"/>
          </w:tcPr>
          <w:p>
            <w:pPr>
              <w:spacing w:after="0"/>
            </w:pPr>
            <w:r>
              <w:rPr>
                <w:sz w:val="19"/>
              </w:rPr>
              <w:t>MU / WDC</w:t>
            </w:r>
          </w:p>
        </w:tc>
        <w:tc>
          <w:tcPr>
            <w:tcW w:type="dxa" w:w="5760"/>
            <w:tcMar>
              <w:top w:w="80" w:type="dxa"/>
              <w:start w:w="120" w:type="dxa"/>
              <w:bottom w:w="80" w:type="dxa"/>
              <w:end w:w="120" w:type="dxa"/>
            </w:tcMar>
            <w:vAlign w:val="center"/>
          </w:tcPr>
          <w:p>
            <w:pPr>
              <w:spacing w:after="0"/>
            </w:pPr>
            <w:r>
              <w:rPr>
                <w:sz w:val="19"/>
              </w:rPr>
              <w:t>Micron Technology and Western Digital</w:t>
            </w:r>
          </w:p>
        </w:tc>
      </w:tr>
      <w:tr>
        <w:tc>
          <w:tcPr>
            <w:tcW w:type="dxa" w:w="1800"/>
            <w:tcMar>
              <w:top w:w="80" w:type="dxa"/>
              <w:start w:w="120" w:type="dxa"/>
              <w:bottom w:w="80" w:type="dxa"/>
              <w:end w:w="120" w:type="dxa"/>
            </w:tcMar>
            <w:vAlign w:val="center"/>
          </w:tcPr>
          <w:p>
            <w:pPr>
              <w:spacing w:after="0"/>
            </w:pPr>
            <w:r>
              <w:rPr>
                <w:sz w:val="19"/>
              </w:rPr>
              <w:t>ETF pair</w:t>
            </w:r>
          </w:p>
        </w:tc>
        <w:tc>
          <w:tcPr>
            <w:tcW w:type="dxa" w:w="1800"/>
            <w:tcMar>
              <w:top w:w="80" w:type="dxa"/>
              <w:start w:w="120" w:type="dxa"/>
              <w:bottom w:w="80" w:type="dxa"/>
              <w:end w:w="120" w:type="dxa"/>
            </w:tcMar>
            <w:vAlign w:val="center"/>
          </w:tcPr>
          <w:p>
            <w:pPr>
              <w:spacing w:after="0"/>
            </w:pPr>
            <w:r>
              <w:rPr>
                <w:sz w:val="19"/>
              </w:rPr>
              <w:t>EWA / EWC</w:t>
            </w:r>
          </w:p>
        </w:tc>
        <w:tc>
          <w:tcPr>
            <w:tcW w:type="dxa" w:w="5760"/>
            <w:tcMar>
              <w:top w:w="80" w:type="dxa"/>
              <w:start w:w="120" w:type="dxa"/>
              <w:bottom w:w="80" w:type="dxa"/>
              <w:end w:w="120" w:type="dxa"/>
            </w:tcMar>
            <w:vAlign w:val="center"/>
          </w:tcPr>
          <w:p>
            <w:pPr>
              <w:spacing w:after="0"/>
            </w:pPr>
            <w:r>
              <w:rPr>
                <w:sz w:val="19"/>
              </w:rPr>
              <w:t>iShares MSCI Australia ETF and iShares MSCI Canada ETF</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vAlign w:val="center"/>
            <w:shd w:fill="E8EEF5"/>
          </w:tcPr>
          <w:p>
            <w:pPr>
              <w:spacing w:after="0"/>
            </w:pPr>
            <w:r>
              <w:rPr>
                <w:b/>
                <w:sz w:val="19"/>
              </w:rPr>
              <w:t>Period</w:t>
            </w:r>
          </w:p>
        </w:tc>
        <w:tc>
          <w:tcPr>
            <w:tcW w:type="dxa" w:w="2880"/>
            <w:tcMar>
              <w:top w:w="80" w:type="dxa"/>
              <w:start w:w="120" w:type="dxa"/>
              <w:bottom w:w="80" w:type="dxa"/>
              <w:end w:w="120" w:type="dxa"/>
            </w:tcMar>
            <w:vAlign w:val="center"/>
            <w:shd w:fill="E8EEF5"/>
          </w:tcPr>
          <w:p>
            <w:pPr>
              <w:spacing w:after="0"/>
            </w:pPr>
            <w:r>
              <w:rPr>
                <w:b/>
                <w:sz w:val="19"/>
              </w:rPr>
              <w:t>Dates</w:t>
            </w:r>
          </w:p>
        </w:tc>
        <w:tc>
          <w:tcPr>
            <w:tcW w:type="dxa" w:w="4248"/>
            <w:tcMar>
              <w:top w:w="80" w:type="dxa"/>
              <w:start w:w="120" w:type="dxa"/>
              <w:bottom w:w="80" w:type="dxa"/>
              <w:end w:w="120" w:type="dxa"/>
            </w:tcMar>
            <w:vAlign w:val="center"/>
            <w:shd w:fill="E8EEF5"/>
          </w:tcPr>
          <w:p>
            <w:pPr>
              <w:spacing w:after="0"/>
            </w:pPr>
            <w:r>
              <w:rPr>
                <w:b/>
                <w:sz w:val="19"/>
              </w:rPr>
              <w:t>Purpose</w:t>
            </w:r>
          </w:p>
        </w:tc>
      </w:tr>
      <w:tr>
        <w:tc>
          <w:tcPr>
            <w:tcW w:type="dxa" w:w="2232"/>
            <w:tcMar>
              <w:top w:w="80" w:type="dxa"/>
              <w:start w:w="120" w:type="dxa"/>
              <w:bottom w:w="80" w:type="dxa"/>
              <w:end w:w="120" w:type="dxa"/>
            </w:tcMar>
            <w:vAlign w:val="center"/>
          </w:tcPr>
          <w:p>
            <w:pPr>
              <w:spacing w:after="0"/>
            </w:pPr>
            <w:r>
              <w:rPr>
                <w:sz w:val="19"/>
              </w:rPr>
              <w:t>Formation period</w:t>
            </w:r>
          </w:p>
        </w:tc>
        <w:tc>
          <w:tcPr>
            <w:tcW w:type="dxa" w:w="2880"/>
            <w:tcMar>
              <w:top w:w="80" w:type="dxa"/>
              <w:start w:w="120" w:type="dxa"/>
              <w:bottom w:w="80" w:type="dxa"/>
              <w:end w:w="120" w:type="dxa"/>
            </w:tcMar>
            <w:vAlign w:val="center"/>
          </w:tcPr>
          <w:p>
            <w:pPr>
              <w:spacing w:after="0"/>
            </w:pPr>
            <w:r>
              <w:rPr>
                <w:sz w:val="19"/>
              </w:rPr>
              <w:t>2021-01-04 to 2023-12-29</w:t>
            </w:r>
          </w:p>
        </w:tc>
        <w:tc>
          <w:tcPr>
            <w:tcW w:type="dxa" w:w="4248"/>
            <w:tcMar>
              <w:top w:w="80" w:type="dxa"/>
              <w:start w:w="120" w:type="dxa"/>
              <w:bottom w:w="80" w:type="dxa"/>
              <w:end w:w="120" w:type="dxa"/>
            </w:tcMar>
            <w:vAlign w:val="center"/>
          </w:tcPr>
          <w:p>
            <w:pPr>
              <w:spacing w:after="0"/>
            </w:pPr>
            <w:r>
              <w:rPr>
                <w:sz w:val="19"/>
              </w:rPr>
              <w:t>Correlation, cointegration testing, hedge-ratio estimation</w:t>
            </w:r>
          </w:p>
        </w:tc>
      </w:tr>
      <w:tr>
        <w:tc>
          <w:tcPr>
            <w:tcW w:type="dxa" w:w="2232"/>
            <w:tcMar>
              <w:top w:w="80" w:type="dxa"/>
              <w:start w:w="120" w:type="dxa"/>
              <w:bottom w:w="80" w:type="dxa"/>
              <w:end w:w="120" w:type="dxa"/>
            </w:tcMar>
            <w:vAlign w:val="center"/>
          </w:tcPr>
          <w:p>
            <w:pPr>
              <w:spacing w:after="0"/>
            </w:pPr>
            <w:r>
              <w:rPr>
                <w:sz w:val="19"/>
              </w:rPr>
              <w:t>Trading period</w:t>
            </w:r>
          </w:p>
        </w:tc>
        <w:tc>
          <w:tcPr>
            <w:tcW w:type="dxa" w:w="2880"/>
            <w:tcMar>
              <w:top w:w="80" w:type="dxa"/>
              <w:start w:w="120" w:type="dxa"/>
              <w:bottom w:w="80" w:type="dxa"/>
              <w:end w:w="120" w:type="dxa"/>
            </w:tcMar>
            <w:vAlign w:val="center"/>
          </w:tcPr>
          <w:p>
            <w:pPr>
              <w:spacing w:after="0"/>
            </w:pPr>
            <w:r>
              <w:rPr>
                <w:sz w:val="19"/>
              </w:rPr>
              <w:t>2024-01-02 to 2026-05-12</w:t>
            </w:r>
          </w:p>
        </w:tc>
        <w:tc>
          <w:tcPr>
            <w:tcW w:type="dxa" w:w="4248"/>
            <w:tcMar>
              <w:top w:w="80" w:type="dxa"/>
              <w:start w:w="120" w:type="dxa"/>
              <w:bottom w:w="80" w:type="dxa"/>
              <w:end w:w="120" w:type="dxa"/>
            </w:tcMar>
            <w:vAlign w:val="center"/>
          </w:tcPr>
          <w:p>
            <w:pPr>
              <w:spacing w:after="0"/>
            </w:pPr>
            <w:r>
              <w:rPr>
                <w:sz w:val="19"/>
              </w:rPr>
              <w:t>Out-of-sample strategy backtest</w:t>
            </w:r>
          </w:p>
        </w:tc>
      </w:tr>
    </w:tbl>
    <w:p/>
    <w:p>
      <w:r>
        <w:t>The spread is constructed as:</w:t>
      </w:r>
    </w:p>
    <w:p>
      <w:pPr>
        <w:spacing w:before="40" w:after="160"/>
        <w:ind w:left="360"/>
      </w:pPr>
      <w:r>
        <w:rPr>
          <w:rFonts w:ascii="Consolas" w:hAnsi="Consolas" w:eastAsia="Consolas"/>
          <w:sz w:val="19"/>
        </w:rPr>
        <w:t>spread = first asset - alpha - beta * second asset</w:t>
      </w:r>
    </w:p>
    <w:p>
      <w:r>
        <w:t>The hedge ratio beta and intercept alpha are estimated by OLS during the formation period and then fixed during the trading period.</w:t>
      </w:r>
    </w:p>
    <w:p>
      <w:pPr>
        <w:pStyle w:val="Heading1"/>
      </w:pPr>
      <w:r>
        <w:t>2. Pair 1: MU / WDC</w:t>
      </w:r>
    </w:p>
    <w:p>
      <w:pPr>
        <w:pStyle w:val="Heading2"/>
      </w:pPr>
      <w:r>
        <w:t>Economic Motivation</w:t>
      </w:r>
    </w:p>
    <w:p>
      <w:r>
        <w:t>Micron Technology (MU) and Western Digital (WDC) are both exposed to the memory and data storage cycle. Micron is strongly linked to DRAM and NAND memory, while Western Digital is exposed to NAND flash and storage devices. Both firms are affected by semiconductor demand, cloud and data-center investment, inventory cycles, and pricing pressure in memory/storage markets. This makes a long-run relationship plausible, although it must be verified empirically.</w:t>
      </w:r>
    </w:p>
    <w:p>
      <w:pPr>
        <w:pStyle w:val="Heading2"/>
      </w:pPr>
      <w:r>
        <w:t>Preliminary Screening</w:t>
      </w:r>
    </w:p>
    <w:p>
      <w:r>
        <w:t>During the formation period, the price-level correlation between MU and WDC was 0.7997. This indicates meaningful co-movement, but correlation alone is not sufficient because two non-stationary assets can appear correlated without having a stable mean-reverting spread.</w:t>
      </w:r>
    </w:p>
    <w:p>
      <w:pPr>
        <w:pStyle w:val="Heading2"/>
      </w:pPr>
      <w:r>
        <w:t>Cointegration Results</w:t>
      </w:r>
    </w:p>
    <w:tbl>
      <w:tblPr>
        <w:tblStyle w:val="TableGrid"/>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E8EEF5"/>
          </w:tcPr>
          <w:p>
            <w:pPr>
              <w:spacing w:after="0"/>
            </w:pPr>
            <w:r>
              <w:rPr>
                <w:b/>
                <w:sz w:val="19"/>
              </w:rPr>
              <w:t>Metric</w:t>
            </w:r>
          </w:p>
        </w:tc>
        <w:tc>
          <w:tcPr>
            <w:tcW w:type="dxa" w:w="4680"/>
            <w:tcMar>
              <w:top w:w="80" w:type="dxa"/>
              <w:start w:w="120" w:type="dxa"/>
              <w:bottom w:w="80" w:type="dxa"/>
              <w:end w:w="120" w:type="dxa"/>
            </w:tcMar>
            <w:vAlign w:val="center"/>
            <w:shd w:fill="E8EEF5"/>
          </w:tcPr>
          <w:p>
            <w:pPr>
              <w:spacing w:after="0"/>
            </w:pPr>
            <w:r>
              <w:rPr>
                <w:b/>
                <w:sz w:val="19"/>
              </w:rPr>
              <w:t>Result</w:t>
            </w:r>
          </w:p>
        </w:tc>
      </w:tr>
      <w:tr>
        <w:tc>
          <w:tcPr>
            <w:tcW w:type="dxa" w:w="4680"/>
            <w:tcMar>
              <w:top w:w="80" w:type="dxa"/>
              <w:start w:w="120" w:type="dxa"/>
              <w:bottom w:w="80" w:type="dxa"/>
              <w:end w:w="120" w:type="dxa"/>
            </w:tcMar>
            <w:vAlign w:val="center"/>
          </w:tcPr>
          <w:p>
            <w:pPr>
              <w:spacing w:after="0"/>
            </w:pPr>
            <w:r>
              <w:rPr>
                <w:sz w:val="19"/>
              </w:rPr>
              <w:t>Test statistic</w:t>
            </w:r>
          </w:p>
        </w:tc>
        <w:tc>
          <w:tcPr>
            <w:tcW w:type="dxa" w:w="4680"/>
            <w:tcMar>
              <w:top w:w="80" w:type="dxa"/>
              <w:start w:w="120" w:type="dxa"/>
              <w:bottom w:w="80" w:type="dxa"/>
              <w:end w:w="120" w:type="dxa"/>
            </w:tcMar>
            <w:vAlign w:val="center"/>
          </w:tcPr>
          <w:p>
            <w:pPr>
              <w:spacing w:after="0"/>
            </w:pPr>
            <w:r>
              <w:rPr>
                <w:sz w:val="19"/>
              </w:rPr>
              <w:t>-2.1042</w:t>
            </w:r>
          </w:p>
        </w:tc>
      </w:tr>
      <w:tr>
        <w:tc>
          <w:tcPr>
            <w:tcW w:type="dxa" w:w="4680"/>
            <w:tcMar>
              <w:top w:w="80" w:type="dxa"/>
              <w:start w:w="120" w:type="dxa"/>
              <w:bottom w:w="80" w:type="dxa"/>
              <w:end w:w="120" w:type="dxa"/>
            </w:tcMar>
            <w:vAlign w:val="center"/>
          </w:tcPr>
          <w:p>
            <w:pPr>
              <w:spacing w:after="0"/>
            </w:pPr>
            <w:r>
              <w:rPr>
                <w:sz w:val="19"/>
              </w:rPr>
              <w:t>p-value</w:t>
            </w:r>
          </w:p>
        </w:tc>
        <w:tc>
          <w:tcPr>
            <w:tcW w:type="dxa" w:w="4680"/>
            <w:tcMar>
              <w:top w:w="80" w:type="dxa"/>
              <w:start w:w="120" w:type="dxa"/>
              <w:bottom w:w="80" w:type="dxa"/>
              <w:end w:w="120" w:type="dxa"/>
            </w:tcMar>
            <w:vAlign w:val="center"/>
          </w:tcPr>
          <w:p>
            <w:pPr>
              <w:spacing w:after="0"/>
            </w:pPr>
            <w:r>
              <w:rPr>
                <w:sz w:val="19"/>
              </w:rPr>
              <w:t>0.4742</w:t>
            </w:r>
          </w:p>
        </w:tc>
      </w:tr>
      <w:tr>
        <w:tc>
          <w:tcPr>
            <w:tcW w:type="dxa" w:w="4680"/>
            <w:tcMar>
              <w:top w:w="80" w:type="dxa"/>
              <w:start w:w="120" w:type="dxa"/>
              <w:bottom w:w="80" w:type="dxa"/>
              <w:end w:w="120" w:type="dxa"/>
            </w:tcMar>
            <w:vAlign w:val="center"/>
          </w:tcPr>
          <w:p>
            <w:pPr>
              <w:spacing w:after="0"/>
            </w:pPr>
            <w:r>
              <w:rPr>
                <w:sz w:val="19"/>
              </w:rPr>
              <w:t>OLS alpha</w:t>
            </w:r>
          </w:p>
        </w:tc>
        <w:tc>
          <w:tcPr>
            <w:tcW w:type="dxa" w:w="4680"/>
            <w:tcMar>
              <w:top w:w="80" w:type="dxa"/>
              <w:start w:w="120" w:type="dxa"/>
              <w:bottom w:w="80" w:type="dxa"/>
              <w:end w:w="120" w:type="dxa"/>
            </w:tcMar>
            <w:vAlign w:val="center"/>
          </w:tcPr>
          <w:p>
            <w:pPr>
              <w:spacing w:after="0"/>
            </w:pPr>
            <w:r>
              <w:rPr>
                <w:sz w:val="19"/>
              </w:rPr>
              <w:t>31.9935</w:t>
            </w:r>
          </w:p>
        </w:tc>
      </w:tr>
      <w:tr>
        <w:tc>
          <w:tcPr>
            <w:tcW w:type="dxa" w:w="4680"/>
            <w:tcMar>
              <w:top w:w="80" w:type="dxa"/>
              <w:start w:w="120" w:type="dxa"/>
              <w:bottom w:w="80" w:type="dxa"/>
              <w:end w:w="120" w:type="dxa"/>
            </w:tcMar>
            <w:vAlign w:val="center"/>
          </w:tcPr>
          <w:p>
            <w:pPr>
              <w:spacing w:after="0"/>
            </w:pPr>
            <w:r>
              <w:rPr>
                <w:sz w:val="19"/>
              </w:rPr>
              <w:t>OLS beta</w:t>
            </w:r>
          </w:p>
        </w:tc>
        <w:tc>
          <w:tcPr>
            <w:tcW w:type="dxa" w:w="4680"/>
            <w:tcMar>
              <w:top w:w="80" w:type="dxa"/>
              <w:start w:w="120" w:type="dxa"/>
              <w:bottom w:w="80" w:type="dxa"/>
              <w:end w:w="120" w:type="dxa"/>
            </w:tcMar>
            <w:vAlign w:val="center"/>
          </w:tcPr>
          <w:p>
            <w:pPr>
              <w:spacing w:after="0"/>
            </w:pPr>
            <w:r>
              <w:rPr>
                <w:sz w:val="19"/>
              </w:rPr>
              <w:t>0.9943</w:t>
            </w:r>
          </w:p>
        </w:tc>
      </w:tr>
    </w:tbl>
    <w:p/>
    <w:p>
      <w:r>
        <w:t>The null hypothesis is no cointegration. Since the p-value is above conventional 10%, 5%, and 1% levels, we do not reject the null hypothesis during the formation period. Therefore, the strict split-sample evidence for cointegration is weak.</w:t>
      </w:r>
    </w:p>
    <w:p>
      <w:pPr>
        <w:pStyle w:val="Heading2"/>
      </w:pPr>
      <w:r>
        <w:t>Strategy Design</w:t>
      </w:r>
    </w:p>
    <w:p>
      <w:r>
        <w:t>The trading strategy uses the fixed formation-period spread:</w:t>
      </w:r>
    </w:p>
    <w:p>
      <w:pPr>
        <w:spacing w:before="40" w:after="160"/>
        <w:ind w:left="360"/>
      </w:pPr>
      <w:r>
        <w:rPr>
          <w:rFonts w:ascii="Consolas" w:hAnsi="Consolas" w:eastAsia="Consolas"/>
          <w:sz w:val="19"/>
        </w:rPr>
        <w:t>spread_t = MU_t - 31.9935 - 0.9943 * WDC_t</w:t>
      </w:r>
    </w:p>
    <w:tbl>
      <w:tblPr>
        <w:tblStyle w:val="TableGrid"/>
        <w:tblW w:type="auto" w:w="0"/>
        <w:tblLayout w:type="fixed"/>
        <w:tblLook w:firstColumn="1" w:firstRow="1" w:lastColumn="0" w:lastRow="0" w:noHBand="0" w:noVBand="1" w:val="04A0"/>
      </w:tblPr>
      <w:tblGrid>
        <w:gridCol w:w="4680"/>
        <w:gridCol w:w="4680"/>
      </w:tblGrid>
      <w:tr>
        <w:tc>
          <w:tcPr>
            <w:tcW w:type="dxa" w:w="3168"/>
            <w:tcMar>
              <w:top w:w="80" w:type="dxa"/>
              <w:start w:w="120" w:type="dxa"/>
              <w:bottom w:w="80" w:type="dxa"/>
              <w:end w:w="120" w:type="dxa"/>
            </w:tcMar>
            <w:vAlign w:val="center"/>
            <w:shd w:fill="E8EEF5"/>
          </w:tcPr>
          <w:p>
            <w:pPr>
              <w:spacing w:after="0"/>
            </w:pPr>
            <w:r>
              <w:rPr>
                <w:b/>
                <w:sz w:val="19"/>
              </w:rPr>
              <w:t>Signal</w:t>
            </w:r>
          </w:p>
        </w:tc>
        <w:tc>
          <w:tcPr>
            <w:tcW w:type="dxa" w:w="6192"/>
            <w:tcMar>
              <w:top w:w="80" w:type="dxa"/>
              <w:start w:w="120" w:type="dxa"/>
              <w:bottom w:w="80" w:type="dxa"/>
              <w:end w:w="120" w:type="dxa"/>
            </w:tcMar>
            <w:vAlign w:val="center"/>
            <w:shd w:fill="E8EEF5"/>
          </w:tcPr>
          <w:p>
            <w:pPr>
              <w:spacing w:after="0"/>
            </w:pPr>
            <w:r>
              <w:rPr>
                <w:b/>
                <w:sz w:val="19"/>
              </w:rPr>
              <w:t>Action</w:t>
            </w:r>
          </w:p>
        </w:tc>
      </w:tr>
      <w:tr>
        <w:tc>
          <w:tcPr>
            <w:tcW w:type="dxa" w:w="3168"/>
            <w:tcMar>
              <w:top w:w="80" w:type="dxa"/>
              <w:start w:w="120" w:type="dxa"/>
              <w:bottom w:w="80" w:type="dxa"/>
              <w:end w:w="120" w:type="dxa"/>
            </w:tcMar>
            <w:vAlign w:val="center"/>
          </w:tcPr>
          <w:p>
            <w:pPr>
              <w:spacing w:after="0"/>
            </w:pPr>
            <w:r>
              <w:rPr>
                <w:sz w:val="19"/>
              </w:rPr>
              <w:t>z-score &gt; 2.0</w:t>
            </w:r>
          </w:p>
        </w:tc>
        <w:tc>
          <w:tcPr>
            <w:tcW w:type="dxa" w:w="6192"/>
            <w:tcMar>
              <w:top w:w="80" w:type="dxa"/>
              <w:start w:w="120" w:type="dxa"/>
              <w:bottom w:w="80" w:type="dxa"/>
              <w:end w:w="120" w:type="dxa"/>
            </w:tcMar>
            <w:vAlign w:val="center"/>
          </w:tcPr>
          <w:p>
            <w:pPr>
              <w:spacing w:after="0"/>
            </w:pPr>
            <w:r>
              <w:rPr>
                <w:sz w:val="19"/>
              </w:rPr>
              <w:t>Short spread: short MU, long beta-adjusted WDC</w:t>
            </w:r>
          </w:p>
        </w:tc>
      </w:tr>
      <w:tr>
        <w:tc>
          <w:tcPr>
            <w:tcW w:type="dxa" w:w="3168"/>
            <w:tcMar>
              <w:top w:w="80" w:type="dxa"/>
              <w:start w:w="120" w:type="dxa"/>
              <w:bottom w:w="80" w:type="dxa"/>
              <w:end w:w="120" w:type="dxa"/>
            </w:tcMar>
            <w:vAlign w:val="center"/>
          </w:tcPr>
          <w:p>
            <w:pPr>
              <w:spacing w:after="0"/>
            </w:pPr>
            <w:r>
              <w:rPr>
                <w:sz w:val="19"/>
              </w:rPr>
              <w:t>z-score &lt; -2.0</w:t>
            </w:r>
          </w:p>
        </w:tc>
        <w:tc>
          <w:tcPr>
            <w:tcW w:type="dxa" w:w="6192"/>
            <w:tcMar>
              <w:top w:w="80" w:type="dxa"/>
              <w:start w:w="120" w:type="dxa"/>
              <w:bottom w:w="80" w:type="dxa"/>
              <w:end w:w="120" w:type="dxa"/>
            </w:tcMar>
            <w:vAlign w:val="center"/>
          </w:tcPr>
          <w:p>
            <w:pPr>
              <w:spacing w:after="0"/>
            </w:pPr>
            <w:r>
              <w:rPr>
                <w:sz w:val="19"/>
              </w:rPr>
              <w:t>Long spread: long MU, short beta-adjusted WDC</w:t>
            </w:r>
          </w:p>
        </w:tc>
      </w:tr>
      <w:tr>
        <w:tc>
          <w:tcPr>
            <w:tcW w:type="dxa" w:w="3168"/>
            <w:tcMar>
              <w:top w:w="80" w:type="dxa"/>
              <w:start w:w="120" w:type="dxa"/>
              <w:bottom w:w="80" w:type="dxa"/>
              <w:end w:w="120" w:type="dxa"/>
            </w:tcMar>
            <w:vAlign w:val="center"/>
          </w:tcPr>
          <w:p>
            <w:pPr>
              <w:spacing w:after="0"/>
            </w:pPr>
            <w:r>
              <w:rPr>
                <w:sz w:val="19"/>
              </w:rPr>
              <w:t>abs(z-score) &lt; 0.5</w:t>
            </w:r>
          </w:p>
        </w:tc>
        <w:tc>
          <w:tcPr>
            <w:tcW w:type="dxa" w:w="6192"/>
            <w:tcMar>
              <w:top w:w="80" w:type="dxa"/>
              <w:start w:w="120" w:type="dxa"/>
              <w:bottom w:w="80" w:type="dxa"/>
              <w:end w:w="120" w:type="dxa"/>
            </w:tcMar>
            <w:vAlign w:val="center"/>
          </w:tcPr>
          <w:p>
            <w:pPr>
              <w:spacing w:after="0"/>
            </w:pPr>
            <w:r>
              <w:rPr>
                <w:sz w:val="19"/>
              </w:rPr>
              <w:t>Close position</w:t>
            </w:r>
          </w:p>
        </w:tc>
      </w:tr>
    </w:tbl>
    <w:p/>
    <w:p>
      <w:r>
        <w:t>Positions are shifted by one day before calculating returns to avoid look-ahead bias.</w:t>
      </w:r>
    </w:p>
    <w:p>
      <w:pPr>
        <w:pStyle w:val="Heading2"/>
      </w:pPr>
      <w:r>
        <w:t>Backtesting Results</w:t>
      </w:r>
    </w:p>
    <w:tbl>
      <w:tblPr>
        <w:tblStyle w:val="TableGrid"/>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E8EEF5"/>
          </w:tcPr>
          <w:p>
            <w:pPr>
              <w:spacing w:after="0"/>
            </w:pPr>
            <w:r>
              <w:rPr>
                <w:b/>
                <w:sz w:val="19"/>
              </w:rPr>
              <w:t>Metric</w:t>
            </w:r>
          </w:p>
        </w:tc>
        <w:tc>
          <w:tcPr>
            <w:tcW w:type="dxa" w:w="4680"/>
            <w:tcMar>
              <w:top w:w="80" w:type="dxa"/>
              <w:start w:w="120" w:type="dxa"/>
              <w:bottom w:w="80" w:type="dxa"/>
              <w:end w:w="120" w:type="dxa"/>
            </w:tcMar>
            <w:vAlign w:val="center"/>
            <w:shd w:fill="E8EEF5"/>
          </w:tcPr>
          <w:p>
            <w:pPr>
              <w:spacing w:after="0"/>
            </w:pPr>
            <w:r>
              <w:rPr>
                <w:b/>
                <w:sz w:val="19"/>
              </w:rPr>
              <w:t>Result</w:t>
            </w:r>
          </w:p>
        </w:tc>
      </w:tr>
      <w:tr>
        <w:tc>
          <w:tcPr>
            <w:tcW w:type="dxa" w:w="4680"/>
            <w:tcMar>
              <w:top w:w="80" w:type="dxa"/>
              <w:start w:w="120" w:type="dxa"/>
              <w:bottom w:w="80" w:type="dxa"/>
              <w:end w:w="120" w:type="dxa"/>
            </w:tcMar>
            <w:vAlign w:val="center"/>
          </w:tcPr>
          <w:p>
            <w:pPr>
              <w:spacing w:after="0"/>
            </w:pPr>
            <w:r>
              <w:rPr>
                <w:sz w:val="19"/>
              </w:rPr>
              <w:t>Trading period</w:t>
            </w:r>
          </w:p>
        </w:tc>
        <w:tc>
          <w:tcPr>
            <w:tcW w:type="dxa" w:w="4680"/>
            <w:tcMar>
              <w:top w:w="80" w:type="dxa"/>
              <w:start w:w="120" w:type="dxa"/>
              <w:bottom w:w="80" w:type="dxa"/>
              <w:end w:w="120" w:type="dxa"/>
            </w:tcMar>
            <w:vAlign w:val="center"/>
          </w:tcPr>
          <w:p>
            <w:pPr>
              <w:spacing w:after="0"/>
            </w:pPr>
            <w:r>
              <w:rPr>
                <w:sz w:val="19"/>
              </w:rPr>
              <w:t>2024-01-02 to 2026-05-12</w:t>
            </w:r>
          </w:p>
        </w:tc>
      </w:tr>
      <w:tr>
        <w:tc>
          <w:tcPr>
            <w:tcW w:type="dxa" w:w="4680"/>
            <w:tcMar>
              <w:top w:w="80" w:type="dxa"/>
              <w:start w:w="120" w:type="dxa"/>
              <w:bottom w:w="80" w:type="dxa"/>
              <w:end w:w="120" w:type="dxa"/>
            </w:tcMar>
            <w:vAlign w:val="center"/>
          </w:tcPr>
          <w:p>
            <w:pPr>
              <w:spacing w:after="0"/>
            </w:pPr>
            <w:r>
              <w:rPr>
                <w:sz w:val="19"/>
              </w:rPr>
              <w:t>Total return</w:t>
            </w:r>
          </w:p>
        </w:tc>
        <w:tc>
          <w:tcPr>
            <w:tcW w:type="dxa" w:w="4680"/>
            <w:tcMar>
              <w:top w:w="80" w:type="dxa"/>
              <w:start w:w="120" w:type="dxa"/>
              <w:bottom w:w="80" w:type="dxa"/>
              <w:end w:w="120" w:type="dxa"/>
            </w:tcMar>
            <w:vAlign w:val="center"/>
          </w:tcPr>
          <w:p>
            <w:pPr>
              <w:spacing w:after="0"/>
            </w:pPr>
            <w:r>
              <w:rPr>
                <w:sz w:val="19"/>
              </w:rPr>
              <w:t>39.98%</w:t>
            </w:r>
          </w:p>
        </w:tc>
      </w:tr>
      <w:tr>
        <w:tc>
          <w:tcPr>
            <w:tcW w:type="dxa" w:w="4680"/>
            <w:tcMar>
              <w:top w:w="80" w:type="dxa"/>
              <w:start w:w="120" w:type="dxa"/>
              <w:bottom w:w="80" w:type="dxa"/>
              <w:end w:w="120" w:type="dxa"/>
            </w:tcMar>
            <w:vAlign w:val="center"/>
          </w:tcPr>
          <w:p>
            <w:pPr>
              <w:spacing w:after="0"/>
            </w:pPr>
            <w:r>
              <w:rPr>
                <w:sz w:val="19"/>
              </w:rPr>
              <w:t>Annualized Sharpe ratio</w:t>
            </w:r>
          </w:p>
        </w:tc>
        <w:tc>
          <w:tcPr>
            <w:tcW w:type="dxa" w:w="4680"/>
            <w:tcMar>
              <w:top w:w="80" w:type="dxa"/>
              <w:start w:w="120" w:type="dxa"/>
              <w:bottom w:w="80" w:type="dxa"/>
              <w:end w:w="120" w:type="dxa"/>
            </w:tcMar>
            <w:vAlign w:val="center"/>
          </w:tcPr>
          <w:p>
            <w:pPr>
              <w:spacing w:after="0"/>
            </w:pPr>
            <w:r>
              <w:rPr>
                <w:sz w:val="19"/>
              </w:rPr>
              <w:t>0.6299</w:t>
            </w:r>
          </w:p>
        </w:tc>
      </w:tr>
      <w:tr>
        <w:tc>
          <w:tcPr>
            <w:tcW w:type="dxa" w:w="4680"/>
            <w:tcMar>
              <w:top w:w="80" w:type="dxa"/>
              <w:start w:w="120" w:type="dxa"/>
              <w:bottom w:w="80" w:type="dxa"/>
              <w:end w:w="120" w:type="dxa"/>
            </w:tcMar>
            <w:vAlign w:val="center"/>
          </w:tcPr>
          <w:p>
            <w:pPr>
              <w:spacing w:after="0"/>
            </w:pPr>
            <w:r>
              <w:rPr>
                <w:sz w:val="19"/>
              </w:rPr>
              <w:t>Maximum drawdown</w:t>
            </w:r>
          </w:p>
        </w:tc>
        <w:tc>
          <w:tcPr>
            <w:tcW w:type="dxa" w:w="4680"/>
            <w:tcMar>
              <w:top w:w="80" w:type="dxa"/>
              <w:start w:w="120" w:type="dxa"/>
              <w:bottom w:w="80" w:type="dxa"/>
              <w:end w:w="120" w:type="dxa"/>
            </w:tcMar>
            <w:vAlign w:val="center"/>
          </w:tcPr>
          <w:p>
            <w:pPr>
              <w:spacing w:after="0"/>
            </w:pPr>
            <w:r>
              <w:rPr>
                <w:sz w:val="19"/>
              </w:rPr>
              <w:t>-20.04%</w:t>
            </w:r>
          </w:p>
        </w:tc>
      </w:tr>
    </w:tbl>
    <w:p/>
    <w:p>
      <w:r>
        <w:t>The strategy generated a positive total return, but the Sharpe ratio is moderate and the drawdown is material. Because the formation-period cointegration test did not reject the null of no cointegration, this result should be interpreted as exploratory rather than strong evidence of a persistent equilibrium relationship.</w:t>
      </w:r>
    </w:p>
    <w:p>
      <w:pPr>
        <w:sectPr>
          <w:pgSz w:w="12240" w:h="15840"/>
          <w:pgMar w:top="1440" w:right="1440" w:bottom="1440" w:left="1440" w:header="720" w:footer="720" w:gutter="0"/>
          <w:cols w:space="720"/>
          <w:docGrid w:linePitch="360"/>
        </w:sectPr>
      </w:pPr>
    </w:p>
    <w:p>
      <w:pPr>
        <w:pStyle w:val="Heading1"/>
      </w:pPr>
      <w:r>
        <w:t>3. Pair 2: EWA / EWC</w:t>
      </w:r>
    </w:p>
    <w:p>
      <w:pPr>
        <w:pStyle w:val="Heading2"/>
      </w:pPr>
      <w:r>
        <w:t>Economic Motivation</w:t>
      </w:r>
    </w:p>
    <w:p>
      <w:r>
        <w:t>EWA tracks Australian equities and EWC tracks Canadian equities. Australia and Canada are both developed, commodity-sensitive markets. Their equity markets are influenced by global growth, resource demand, energy and materials prices, exchange-rate cycles, and global risk appetite. These shared macro drivers make a long-run relationship plausible.</w:t>
      </w:r>
    </w:p>
    <w:p>
      <w:pPr>
        <w:pStyle w:val="Heading2"/>
      </w:pPr>
      <w:r>
        <w:t>Preliminary Screening</w:t>
      </w:r>
    </w:p>
    <w:p>
      <w:r>
        <w:t>During the formation period, the price-level correlation between EWA and EWC was 0.7214. This shows moderate-to-high co-movement, but correlation alone does not prove that the spread is stationary.</w:t>
      </w:r>
    </w:p>
    <w:p>
      <w:pPr>
        <w:pStyle w:val="Heading2"/>
      </w:pPr>
      <w:r>
        <w:t>Cointegration Results</w:t>
      </w:r>
    </w:p>
    <w:tbl>
      <w:tblPr>
        <w:tblStyle w:val="TableGrid"/>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E8EEF5"/>
          </w:tcPr>
          <w:p>
            <w:pPr>
              <w:spacing w:after="0"/>
            </w:pPr>
            <w:r>
              <w:rPr>
                <w:b/>
                <w:sz w:val="19"/>
              </w:rPr>
              <w:t>Metric</w:t>
            </w:r>
          </w:p>
        </w:tc>
        <w:tc>
          <w:tcPr>
            <w:tcW w:type="dxa" w:w="4680"/>
            <w:tcMar>
              <w:top w:w="80" w:type="dxa"/>
              <w:start w:w="120" w:type="dxa"/>
              <w:bottom w:w="80" w:type="dxa"/>
              <w:end w:w="120" w:type="dxa"/>
            </w:tcMar>
            <w:vAlign w:val="center"/>
            <w:shd w:fill="E8EEF5"/>
          </w:tcPr>
          <w:p>
            <w:pPr>
              <w:spacing w:after="0"/>
            </w:pPr>
            <w:r>
              <w:rPr>
                <w:b/>
                <w:sz w:val="19"/>
              </w:rPr>
              <w:t>Result</w:t>
            </w:r>
          </w:p>
        </w:tc>
      </w:tr>
      <w:tr>
        <w:tc>
          <w:tcPr>
            <w:tcW w:type="dxa" w:w="4680"/>
            <w:tcMar>
              <w:top w:w="80" w:type="dxa"/>
              <w:start w:w="120" w:type="dxa"/>
              <w:bottom w:w="80" w:type="dxa"/>
              <w:end w:w="120" w:type="dxa"/>
            </w:tcMar>
            <w:vAlign w:val="center"/>
          </w:tcPr>
          <w:p>
            <w:pPr>
              <w:spacing w:after="0"/>
            </w:pPr>
            <w:r>
              <w:rPr>
                <w:sz w:val="19"/>
              </w:rPr>
              <w:t>Test statistic</w:t>
            </w:r>
          </w:p>
        </w:tc>
        <w:tc>
          <w:tcPr>
            <w:tcW w:type="dxa" w:w="4680"/>
            <w:tcMar>
              <w:top w:w="80" w:type="dxa"/>
              <w:start w:w="120" w:type="dxa"/>
              <w:bottom w:w="80" w:type="dxa"/>
              <w:end w:w="120" w:type="dxa"/>
            </w:tcMar>
            <w:vAlign w:val="center"/>
          </w:tcPr>
          <w:p>
            <w:pPr>
              <w:spacing w:after="0"/>
            </w:pPr>
            <w:r>
              <w:rPr>
                <w:sz w:val="19"/>
              </w:rPr>
              <w:t>-2.6586</w:t>
            </w:r>
          </w:p>
        </w:tc>
      </w:tr>
      <w:tr>
        <w:tc>
          <w:tcPr>
            <w:tcW w:type="dxa" w:w="4680"/>
            <w:tcMar>
              <w:top w:w="80" w:type="dxa"/>
              <w:start w:w="120" w:type="dxa"/>
              <w:bottom w:w="80" w:type="dxa"/>
              <w:end w:w="120" w:type="dxa"/>
            </w:tcMar>
            <w:vAlign w:val="center"/>
          </w:tcPr>
          <w:p>
            <w:pPr>
              <w:spacing w:after="0"/>
            </w:pPr>
            <w:r>
              <w:rPr>
                <w:sz w:val="19"/>
              </w:rPr>
              <w:t>p-value</w:t>
            </w:r>
          </w:p>
        </w:tc>
        <w:tc>
          <w:tcPr>
            <w:tcW w:type="dxa" w:w="4680"/>
            <w:tcMar>
              <w:top w:w="80" w:type="dxa"/>
              <w:start w:w="120" w:type="dxa"/>
              <w:bottom w:w="80" w:type="dxa"/>
              <w:end w:w="120" w:type="dxa"/>
            </w:tcMar>
            <w:vAlign w:val="center"/>
          </w:tcPr>
          <w:p>
            <w:pPr>
              <w:spacing w:after="0"/>
            </w:pPr>
            <w:r>
              <w:rPr>
                <w:sz w:val="19"/>
              </w:rPr>
              <w:t>0.2148</w:t>
            </w:r>
          </w:p>
        </w:tc>
      </w:tr>
      <w:tr>
        <w:tc>
          <w:tcPr>
            <w:tcW w:type="dxa" w:w="4680"/>
            <w:tcMar>
              <w:top w:w="80" w:type="dxa"/>
              <w:start w:w="120" w:type="dxa"/>
              <w:bottom w:w="80" w:type="dxa"/>
              <w:end w:w="120" w:type="dxa"/>
            </w:tcMar>
            <w:vAlign w:val="center"/>
          </w:tcPr>
          <w:p>
            <w:pPr>
              <w:spacing w:after="0"/>
            </w:pPr>
            <w:r>
              <w:rPr>
                <w:sz w:val="19"/>
              </w:rPr>
              <w:t>OLS alpha</w:t>
            </w:r>
          </w:p>
        </w:tc>
        <w:tc>
          <w:tcPr>
            <w:tcW w:type="dxa" w:w="4680"/>
            <w:tcMar>
              <w:top w:w="80" w:type="dxa"/>
              <w:start w:w="120" w:type="dxa"/>
              <w:bottom w:w="80" w:type="dxa"/>
              <w:end w:w="120" w:type="dxa"/>
            </w:tcMar>
            <w:vAlign w:val="center"/>
          </w:tcPr>
          <w:p>
            <w:pPr>
              <w:spacing w:after="0"/>
            </w:pPr>
            <w:r>
              <w:rPr>
                <w:sz w:val="19"/>
              </w:rPr>
              <w:t>7.4876</w:t>
            </w:r>
          </w:p>
        </w:tc>
      </w:tr>
      <w:tr>
        <w:tc>
          <w:tcPr>
            <w:tcW w:type="dxa" w:w="4680"/>
            <w:tcMar>
              <w:top w:w="80" w:type="dxa"/>
              <w:start w:w="120" w:type="dxa"/>
              <w:bottom w:w="80" w:type="dxa"/>
              <w:end w:w="120" w:type="dxa"/>
            </w:tcMar>
            <w:vAlign w:val="center"/>
          </w:tcPr>
          <w:p>
            <w:pPr>
              <w:spacing w:after="0"/>
            </w:pPr>
            <w:r>
              <w:rPr>
                <w:sz w:val="19"/>
              </w:rPr>
              <w:t>OLS beta</w:t>
            </w:r>
          </w:p>
        </w:tc>
        <w:tc>
          <w:tcPr>
            <w:tcW w:type="dxa" w:w="4680"/>
            <w:tcMar>
              <w:top w:w="80" w:type="dxa"/>
              <w:start w:w="120" w:type="dxa"/>
              <w:bottom w:w="80" w:type="dxa"/>
              <w:end w:w="120" w:type="dxa"/>
            </w:tcMar>
            <w:vAlign w:val="center"/>
          </w:tcPr>
          <w:p>
            <w:pPr>
              <w:spacing w:after="0"/>
            </w:pPr>
            <w:r>
              <w:rPr>
                <w:sz w:val="19"/>
              </w:rPr>
              <w:t>0.3986</w:t>
            </w:r>
          </w:p>
        </w:tc>
      </w:tr>
    </w:tbl>
    <w:p/>
    <w:p>
      <w:r>
        <w:t>The null hypothesis is no cointegration. The p-value is above conventional significance thresholds, so we do not reject the null hypothesis during the formation period. The formation-period evidence for cointegration is therefore weak.</w:t>
      </w:r>
    </w:p>
    <w:p>
      <w:pPr>
        <w:pStyle w:val="Heading2"/>
      </w:pPr>
      <w:r>
        <w:t>Strategy Design</w:t>
      </w:r>
    </w:p>
    <w:p>
      <w:r>
        <w:t>The trading strategy uses the fixed formation-period spread:</w:t>
      </w:r>
    </w:p>
    <w:p>
      <w:pPr>
        <w:spacing w:before="40" w:after="160"/>
        <w:ind w:left="360"/>
      </w:pPr>
      <w:r>
        <w:rPr>
          <w:rFonts w:ascii="Consolas" w:hAnsi="Consolas" w:eastAsia="Consolas"/>
          <w:sz w:val="19"/>
        </w:rPr>
        <w:t>spread_t = EWA_t - 7.4876 - 0.3986 * EWC_t</w:t>
      </w:r>
    </w:p>
    <w:tbl>
      <w:tblPr>
        <w:tblStyle w:val="TableGrid"/>
        <w:tblW w:type="auto" w:w="0"/>
        <w:tblLayout w:type="fixed"/>
        <w:tblLook w:firstColumn="1" w:firstRow="1" w:lastColumn="0" w:lastRow="0" w:noHBand="0" w:noVBand="1" w:val="04A0"/>
      </w:tblPr>
      <w:tblGrid>
        <w:gridCol w:w="4680"/>
        <w:gridCol w:w="4680"/>
      </w:tblGrid>
      <w:tr>
        <w:tc>
          <w:tcPr>
            <w:tcW w:type="dxa" w:w="3168"/>
            <w:tcMar>
              <w:top w:w="80" w:type="dxa"/>
              <w:start w:w="120" w:type="dxa"/>
              <w:bottom w:w="80" w:type="dxa"/>
              <w:end w:w="120" w:type="dxa"/>
            </w:tcMar>
            <w:vAlign w:val="center"/>
            <w:shd w:fill="E8EEF5"/>
          </w:tcPr>
          <w:p>
            <w:pPr>
              <w:spacing w:after="0"/>
            </w:pPr>
            <w:r>
              <w:rPr>
                <w:b/>
                <w:sz w:val="19"/>
              </w:rPr>
              <w:t>Signal</w:t>
            </w:r>
          </w:p>
        </w:tc>
        <w:tc>
          <w:tcPr>
            <w:tcW w:type="dxa" w:w="6192"/>
            <w:tcMar>
              <w:top w:w="80" w:type="dxa"/>
              <w:start w:w="120" w:type="dxa"/>
              <w:bottom w:w="80" w:type="dxa"/>
              <w:end w:w="120" w:type="dxa"/>
            </w:tcMar>
            <w:vAlign w:val="center"/>
            <w:shd w:fill="E8EEF5"/>
          </w:tcPr>
          <w:p>
            <w:pPr>
              <w:spacing w:after="0"/>
            </w:pPr>
            <w:r>
              <w:rPr>
                <w:b/>
                <w:sz w:val="19"/>
              </w:rPr>
              <w:t>Action</w:t>
            </w:r>
          </w:p>
        </w:tc>
      </w:tr>
      <w:tr>
        <w:tc>
          <w:tcPr>
            <w:tcW w:type="dxa" w:w="3168"/>
            <w:tcMar>
              <w:top w:w="80" w:type="dxa"/>
              <w:start w:w="120" w:type="dxa"/>
              <w:bottom w:w="80" w:type="dxa"/>
              <w:end w:w="120" w:type="dxa"/>
            </w:tcMar>
            <w:vAlign w:val="center"/>
          </w:tcPr>
          <w:p>
            <w:pPr>
              <w:spacing w:after="0"/>
            </w:pPr>
            <w:r>
              <w:rPr>
                <w:sz w:val="19"/>
              </w:rPr>
              <w:t>z-score &gt; 2.0</w:t>
            </w:r>
          </w:p>
        </w:tc>
        <w:tc>
          <w:tcPr>
            <w:tcW w:type="dxa" w:w="6192"/>
            <w:tcMar>
              <w:top w:w="80" w:type="dxa"/>
              <w:start w:w="120" w:type="dxa"/>
              <w:bottom w:w="80" w:type="dxa"/>
              <w:end w:w="120" w:type="dxa"/>
            </w:tcMar>
            <w:vAlign w:val="center"/>
          </w:tcPr>
          <w:p>
            <w:pPr>
              <w:spacing w:after="0"/>
            </w:pPr>
            <w:r>
              <w:rPr>
                <w:sz w:val="19"/>
              </w:rPr>
              <w:t>Short spread: short EWA, long beta-adjusted EWC</w:t>
            </w:r>
          </w:p>
        </w:tc>
      </w:tr>
      <w:tr>
        <w:tc>
          <w:tcPr>
            <w:tcW w:type="dxa" w:w="3168"/>
            <w:tcMar>
              <w:top w:w="80" w:type="dxa"/>
              <w:start w:w="120" w:type="dxa"/>
              <w:bottom w:w="80" w:type="dxa"/>
              <w:end w:w="120" w:type="dxa"/>
            </w:tcMar>
            <w:vAlign w:val="center"/>
          </w:tcPr>
          <w:p>
            <w:pPr>
              <w:spacing w:after="0"/>
            </w:pPr>
            <w:r>
              <w:rPr>
                <w:sz w:val="19"/>
              </w:rPr>
              <w:t>z-score &lt; -2.0</w:t>
            </w:r>
          </w:p>
        </w:tc>
        <w:tc>
          <w:tcPr>
            <w:tcW w:type="dxa" w:w="6192"/>
            <w:tcMar>
              <w:top w:w="80" w:type="dxa"/>
              <w:start w:w="120" w:type="dxa"/>
              <w:bottom w:w="80" w:type="dxa"/>
              <w:end w:w="120" w:type="dxa"/>
            </w:tcMar>
            <w:vAlign w:val="center"/>
          </w:tcPr>
          <w:p>
            <w:pPr>
              <w:spacing w:after="0"/>
            </w:pPr>
            <w:r>
              <w:rPr>
                <w:sz w:val="19"/>
              </w:rPr>
              <w:t>Long spread: long EWA, short beta-adjusted EWC</w:t>
            </w:r>
          </w:p>
        </w:tc>
      </w:tr>
      <w:tr>
        <w:tc>
          <w:tcPr>
            <w:tcW w:type="dxa" w:w="3168"/>
            <w:tcMar>
              <w:top w:w="80" w:type="dxa"/>
              <w:start w:w="120" w:type="dxa"/>
              <w:bottom w:w="80" w:type="dxa"/>
              <w:end w:w="120" w:type="dxa"/>
            </w:tcMar>
            <w:vAlign w:val="center"/>
          </w:tcPr>
          <w:p>
            <w:pPr>
              <w:spacing w:after="0"/>
            </w:pPr>
            <w:r>
              <w:rPr>
                <w:sz w:val="19"/>
              </w:rPr>
              <w:t>abs(z-score) &lt; 0.5</w:t>
            </w:r>
          </w:p>
        </w:tc>
        <w:tc>
          <w:tcPr>
            <w:tcW w:type="dxa" w:w="6192"/>
            <w:tcMar>
              <w:top w:w="80" w:type="dxa"/>
              <w:start w:w="120" w:type="dxa"/>
              <w:bottom w:w="80" w:type="dxa"/>
              <w:end w:w="120" w:type="dxa"/>
            </w:tcMar>
            <w:vAlign w:val="center"/>
          </w:tcPr>
          <w:p>
            <w:pPr>
              <w:spacing w:after="0"/>
            </w:pPr>
            <w:r>
              <w:rPr>
                <w:sz w:val="19"/>
              </w:rPr>
              <w:t>Close position</w:t>
            </w:r>
          </w:p>
        </w:tc>
      </w:tr>
    </w:tbl>
    <w:p/>
    <w:p>
      <w:r>
        <w:t>Positions are shifted by one day before calculating returns to avoid look-ahead bias.</w:t>
      </w:r>
    </w:p>
    <w:p>
      <w:pPr>
        <w:pStyle w:val="Heading2"/>
      </w:pPr>
      <w:r>
        <w:t>Backtesting Results</w:t>
      </w:r>
    </w:p>
    <w:tbl>
      <w:tblPr>
        <w:tblStyle w:val="TableGrid"/>
        <w:tblW w:type="auto" w:w="0"/>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E8EEF5"/>
          </w:tcPr>
          <w:p>
            <w:pPr>
              <w:spacing w:after="0"/>
            </w:pPr>
            <w:r>
              <w:rPr>
                <w:b/>
                <w:sz w:val="19"/>
              </w:rPr>
              <w:t>Metric</w:t>
            </w:r>
          </w:p>
        </w:tc>
        <w:tc>
          <w:tcPr>
            <w:tcW w:type="dxa" w:w="4680"/>
            <w:tcMar>
              <w:top w:w="80" w:type="dxa"/>
              <w:start w:w="120" w:type="dxa"/>
              <w:bottom w:w="80" w:type="dxa"/>
              <w:end w:w="120" w:type="dxa"/>
            </w:tcMar>
            <w:vAlign w:val="center"/>
            <w:shd w:fill="E8EEF5"/>
          </w:tcPr>
          <w:p>
            <w:pPr>
              <w:spacing w:after="0"/>
            </w:pPr>
            <w:r>
              <w:rPr>
                <w:b/>
                <w:sz w:val="19"/>
              </w:rPr>
              <w:t>Result</w:t>
            </w:r>
          </w:p>
        </w:tc>
      </w:tr>
      <w:tr>
        <w:tc>
          <w:tcPr>
            <w:tcW w:type="dxa" w:w="4680"/>
            <w:tcMar>
              <w:top w:w="80" w:type="dxa"/>
              <w:start w:w="120" w:type="dxa"/>
              <w:bottom w:w="80" w:type="dxa"/>
              <w:end w:w="120" w:type="dxa"/>
            </w:tcMar>
            <w:vAlign w:val="center"/>
          </w:tcPr>
          <w:p>
            <w:pPr>
              <w:spacing w:after="0"/>
            </w:pPr>
            <w:r>
              <w:rPr>
                <w:sz w:val="19"/>
              </w:rPr>
              <w:t>Trading period</w:t>
            </w:r>
          </w:p>
        </w:tc>
        <w:tc>
          <w:tcPr>
            <w:tcW w:type="dxa" w:w="4680"/>
            <w:tcMar>
              <w:top w:w="80" w:type="dxa"/>
              <w:start w:w="120" w:type="dxa"/>
              <w:bottom w:w="80" w:type="dxa"/>
              <w:end w:w="120" w:type="dxa"/>
            </w:tcMar>
            <w:vAlign w:val="center"/>
          </w:tcPr>
          <w:p>
            <w:pPr>
              <w:spacing w:after="0"/>
            </w:pPr>
            <w:r>
              <w:rPr>
                <w:sz w:val="19"/>
              </w:rPr>
              <w:t>2024-01-02 to 2026-05-12</w:t>
            </w:r>
          </w:p>
        </w:tc>
      </w:tr>
      <w:tr>
        <w:tc>
          <w:tcPr>
            <w:tcW w:type="dxa" w:w="4680"/>
            <w:tcMar>
              <w:top w:w="80" w:type="dxa"/>
              <w:start w:w="120" w:type="dxa"/>
              <w:bottom w:w="80" w:type="dxa"/>
              <w:end w:w="120" w:type="dxa"/>
            </w:tcMar>
            <w:vAlign w:val="center"/>
          </w:tcPr>
          <w:p>
            <w:pPr>
              <w:spacing w:after="0"/>
            </w:pPr>
            <w:r>
              <w:rPr>
                <w:sz w:val="19"/>
              </w:rPr>
              <w:t>Total return</w:t>
            </w:r>
          </w:p>
        </w:tc>
        <w:tc>
          <w:tcPr>
            <w:tcW w:type="dxa" w:w="4680"/>
            <w:tcMar>
              <w:top w:w="80" w:type="dxa"/>
              <w:start w:w="120" w:type="dxa"/>
              <w:bottom w:w="80" w:type="dxa"/>
              <w:end w:w="120" w:type="dxa"/>
            </w:tcMar>
            <w:vAlign w:val="center"/>
          </w:tcPr>
          <w:p>
            <w:pPr>
              <w:spacing w:after="0"/>
            </w:pPr>
            <w:r>
              <w:rPr>
                <w:sz w:val="19"/>
              </w:rPr>
              <w:t>15.40%</w:t>
            </w:r>
          </w:p>
        </w:tc>
      </w:tr>
      <w:tr>
        <w:tc>
          <w:tcPr>
            <w:tcW w:type="dxa" w:w="4680"/>
            <w:tcMar>
              <w:top w:w="80" w:type="dxa"/>
              <w:start w:w="120" w:type="dxa"/>
              <w:bottom w:w="80" w:type="dxa"/>
              <w:end w:w="120" w:type="dxa"/>
            </w:tcMar>
            <w:vAlign w:val="center"/>
          </w:tcPr>
          <w:p>
            <w:pPr>
              <w:spacing w:after="0"/>
            </w:pPr>
            <w:r>
              <w:rPr>
                <w:sz w:val="19"/>
              </w:rPr>
              <w:t>Annualized Sharpe ratio</w:t>
            </w:r>
          </w:p>
        </w:tc>
        <w:tc>
          <w:tcPr>
            <w:tcW w:type="dxa" w:w="4680"/>
            <w:tcMar>
              <w:top w:w="80" w:type="dxa"/>
              <w:start w:w="120" w:type="dxa"/>
              <w:bottom w:w="80" w:type="dxa"/>
              <w:end w:w="120" w:type="dxa"/>
            </w:tcMar>
            <w:vAlign w:val="center"/>
          </w:tcPr>
          <w:p>
            <w:pPr>
              <w:spacing w:after="0"/>
            </w:pPr>
            <w:r>
              <w:rPr>
                <w:sz w:val="19"/>
              </w:rPr>
              <w:t>0.6448</w:t>
            </w:r>
          </w:p>
        </w:tc>
      </w:tr>
      <w:tr>
        <w:tc>
          <w:tcPr>
            <w:tcW w:type="dxa" w:w="4680"/>
            <w:tcMar>
              <w:top w:w="80" w:type="dxa"/>
              <w:start w:w="120" w:type="dxa"/>
              <w:bottom w:w="80" w:type="dxa"/>
              <w:end w:w="120" w:type="dxa"/>
            </w:tcMar>
            <w:vAlign w:val="center"/>
          </w:tcPr>
          <w:p>
            <w:pPr>
              <w:spacing w:after="0"/>
            </w:pPr>
            <w:r>
              <w:rPr>
                <w:sz w:val="19"/>
              </w:rPr>
              <w:t>Maximum drawdown</w:t>
            </w:r>
          </w:p>
        </w:tc>
        <w:tc>
          <w:tcPr>
            <w:tcW w:type="dxa" w:w="4680"/>
            <w:tcMar>
              <w:top w:w="80" w:type="dxa"/>
              <w:start w:w="120" w:type="dxa"/>
              <w:bottom w:w="80" w:type="dxa"/>
              <w:end w:w="120" w:type="dxa"/>
            </w:tcMar>
            <w:vAlign w:val="center"/>
          </w:tcPr>
          <w:p>
            <w:pPr>
              <w:spacing w:after="0"/>
            </w:pPr>
            <w:r>
              <w:rPr>
                <w:sz w:val="19"/>
              </w:rPr>
              <w:t>-10.06%</w:t>
            </w:r>
          </w:p>
        </w:tc>
      </w:tr>
    </w:tbl>
    <w:p/>
    <w:p>
      <w:r>
        <w:t>The strategy produced a positive out-of-sample return with a moderate Sharpe ratio and lower drawdown than the stock pair. However, because the formation-period cointegration evidence is weak, the result should be interpreted cautiously.</w:t>
      </w:r>
    </w:p>
    <w:p>
      <w:pPr>
        <w:pStyle w:val="Heading1"/>
      </w:pPr>
      <w:r>
        <w:t>4. Summary of Results</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440"/>
            <w:tcMar>
              <w:top w:w="80" w:type="dxa"/>
              <w:start w:w="120" w:type="dxa"/>
              <w:bottom w:w="80" w:type="dxa"/>
              <w:end w:w="120" w:type="dxa"/>
            </w:tcMar>
            <w:vAlign w:val="center"/>
            <w:shd w:fill="E8EEF5"/>
          </w:tcPr>
          <w:p>
            <w:pPr>
              <w:spacing w:after="0"/>
            </w:pPr>
            <w:r>
              <w:rPr>
                <w:b/>
                <w:sz w:val="19"/>
              </w:rPr>
              <w:t>Pair</w:t>
            </w:r>
          </w:p>
        </w:tc>
        <w:tc>
          <w:tcPr>
            <w:tcW w:type="dxa" w:w="936"/>
            <w:tcMar>
              <w:top w:w="80" w:type="dxa"/>
              <w:start w:w="120" w:type="dxa"/>
              <w:bottom w:w="80" w:type="dxa"/>
              <w:end w:w="120" w:type="dxa"/>
            </w:tcMar>
            <w:vAlign w:val="center"/>
            <w:shd w:fill="E8EEF5"/>
          </w:tcPr>
          <w:p>
            <w:pPr>
              <w:spacing w:after="0"/>
            </w:pPr>
            <w:r>
              <w:rPr>
                <w:b/>
                <w:sz w:val="19"/>
              </w:rPr>
              <w:t>Corr.</w:t>
            </w:r>
          </w:p>
        </w:tc>
        <w:tc>
          <w:tcPr>
            <w:tcW w:type="dxa" w:w="1296"/>
            <w:tcMar>
              <w:top w:w="80" w:type="dxa"/>
              <w:start w:w="120" w:type="dxa"/>
              <w:bottom w:w="80" w:type="dxa"/>
              <w:end w:w="120" w:type="dxa"/>
            </w:tcMar>
            <w:vAlign w:val="center"/>
            <w:shd w:fill="E8EEF5"/>
          </w:tcPr>
          <w:p>
            <w:pPr>
              <w:spacing w:after="0"/>
            </w:pPr>
            <w:r>
              <w:rPr>
                <w:b/>
                <w:sz w:val="19"/>
              </w:rPr>
              <w:t>Coint stat</w:t>
            </w:r>
          </w:p>
        </w:tc>
        <w:tc>
          <w:tcPr>
            <w:tcW w:type="dxa" w:w="1080"/>
            <w:tcMar>
              <w:top w:w="80" w:type="dxa"/>
              <w:start w:w="120" w:type="dxa"/>
              <w:bottom w:w="80" w:type="dxa"/>
              <w:end w:w="120" w:type="dxa"/>
            </w:tcMar>
            <w:vAlign w:val="center"/>
            <w:shd w:fill="E8EEF5"/>
          </w:tcPr>
          <w:p>
            <w:pPr>
              <w:spacing w:after="0"/>
            </w:pPr>
            <w:r>
              <w:rPr>
                <w:b/>
                <w:sz w:val="19"/>
              </w:rPr>
              <w:t>p-value</w:t>
            </w:r>
          </w:p>
        </w:tc>
        <w:tc>
          <w:tcPr>
            <w:tcW w:type="dxa" w:w="936"/>
            <w:tcMar>
              <w:top w:w="80" w:type="dxa"/>
              <w:start w:w="120" w:type="dxa"/>
              <w:bottom w:w="80" w:type="dxa"/>
              <w:end w:w="120" w:type="dxa"/>
            </w:tcMar>
            <w:vAlign w:val="center"/>
            <w:shd w:fill="E8EEF5"/>
          </w:tcPr>
          <w:p>
            <w:pPr>
              <w:spacing w:after="0"/>
            </w:pPr>
            <w:r>
              <w:rPr>
                <w:b/>
                <w:sz w:val="19"/>
              </w:rPr>
              <w:t>Beta</w:t>
            </w:r>
          </w:p>
        </w:tc>
        <w:tc>
          <w:tcPr>
            <w:tcW w:type="dxa" w:w="1368"/>
            <w:tcMar>
              <w:top w:w="80" w:type="dxa"/>
              <w:start w:w="120" w:type="dxa"/>
              <w:bottom w:w="80" w:type="dxa"/>
              <w:end w:w="120" w:type="dxa"/>
            </w:tcMar>
            <w:vAlign w:val="center"/>
            <w:shd w:fill="E8EEF5"/>
          </w:tcPr>
          <w:p>
            <w:pPr>
              <w:spacing w:after="0"/>
            </w:pPr>
            <w:r>
              <w:rPr>
                <w:b/>
                <w:sz w:val="19"/>
              </w:rPr>
              <w:t>Total return</w:t>
            </w:r>
          </w:p>
        </w:tc>
        <w:tc>
          <w:tcPr>
            <w:tcW w:type="dxa" w:w="1080"/>
            <w:tcMar>
              <w:top w:w="80" w:type="dxa"/>
              <w:start w:w="120" w:type="dxa"/>
              <w:bottom w:w="80" w:type="dxa"/>
              <w:end w:w="120" w:type="dxa"/>
            </w:tcMar>
            <w:vAlign w:val="center"/>
            <w:shd w:fill="E8EEF5"/>
          </w:tcPr>
          <w:p>
            <w:pPr>
              <w:spacing w:after="0"/>
            </w:pPr>
            <w:r>
              <w:rPr>
                <w:b/>
                <w:sz w:val="19"/>
              </w:rPr>
              <w:t>Sharpe</w:t>
            </w:r>
          </w:p>
        </w:tc>
        <w:tc>
          <w:tcPr>
            <w:tcW w:type="dxa" w:w="1224"/>
            <w:tcMar>
              <w:top w:w="80" w:type="dxa"/>
              <w:start w:w="120" w:type="dxa"/>
              <w:bottom w:w="80" w:type="dxa"/>
              <w:end w:w="120" w:type="dxa"/>
            </w:tcMar>
            <w:vAlign w:val="center"/>
            <w:shd w:fill="E8EEF5"/>
          </w:tcPr>
          <w:p>
            <w:pPr>
              <w:spacing w:after="0"/>
            </w:pPr>
            <w:r>
              <w:rPr>
                <w:b/>
                <w:sz w:val="19"/>
              </w:rPr>
              <w:t>Max DD</w:t>
            </w:r>
          </w:p>
        </w:tc>
      </w:tr>
      <w:tr>
        <w:tc>
          <w:tcPr>
            <w:tcW w:type="dxa" w:w="1440"/>
            <w:tcMar>
              <w:top w:w="80" w:type="dxa"/>
              <w:start w:w="120" w:type="dxa"/>
              <w:bottom w:w="80" w:type="dxa"/>
              <w:end w:w="120" w:type="dxa"/>
            </w:tcMar>
            <w:vAlign w:val="center"/>
          </w:tcPr>
          <w:p>
            <w:pPr>
              <w:spacing w:after="0"/>
            </w:pPr>
            <w:r>
              <w:rPr>
                <w:sz w:val="19"/>
              </w:rPr>
              <w:t>MU / WDC</w:t>
            </w:r>
          </w:p>
        </w:tc>
        <w:tc>
          <w:tcPr>
            <w:tcW w:type="dxa" w:w="936"/>
            <w:tcMar>
              <w:top w:w="80" w:type="dxa"/>
              <w:start w:w="120" w:type="dxa"/>
              <w:bottom w:w="80" w:type="dxa"/>
              <w:end w:w="120" w:type="dxa"/>
            </w:tcMar>
            <w:vAlign w:val="center"/>
          </w:tcPr>
          <w:p>
            <w:pPr>
              <w:spacing w:after="0"/>
            </w:pPr>
            <w:r>
              <w:rPr>
                <w:sz w:val="19"/>
              </w:rPr>
              <w:t>0.7997</w:t>
            </w:r>
          </w:p>
        </w:tc>
        <w:tc>
          <w:tcPr>
            <w:tcW w:type="dxa" w:w="1296"/>
            <w:tcMar>
              <w:top w:w="80" w:type="dxa"/>
              <w:start w:w="120" w:type="dxa"/>
              <w:bottom w:w="80" w:type="dxa"/>
              <w:end w:w="120" w:type="dxa"/>
            </w:tcMar>
            <w:vAlign w:val="center"/>
          </w:tcPr>
          <w:p>
            <w:pPr>
              <w:spacing w:after="0"/>
            </w:pPr>
            <w:r>
              <w:rPr>
                <w:sz w:val="19"/>
              </w:rPr>
              <w:t>-2.1042</w:t>
            </w:r>
          </w:p>
        </w:tc>
        <w:tc>
          <w:tcPr>
            <w:tcW w:type="dxa" w:w="1080"/>
            <w:tcMar>
              <w:top w:w="80" w:type="dxa"/>
              <w:start w:w="120" w:type="dxa"/>
              <w:bottom w:w="80" w:type="dxa"/>
              <w:end w:w="120" w:type="dxa"/>
            </w:tcMar>
            <w:vAlign w:val="center"/>
          </w:tcPr>
          <w:p>
            <w:pPr>
              <w:spacing w:after="0"/>
            </w:pPr>
            <w:r>
              <w:rPr>
                <w:sz w:val="19"/>
              </w:rPr>
              <w:t>0.4742</w:t>
            </w:r>
          </w:p>
        </w:tc>
        <w:tc>
          <w:tcPr>
            <w:tcW w:type="dxa" w:w="936"/>
            <w:tcMar>
              <w:top w:w="80" w:type="dxa"/>
              <w:start w:w="120" w:type="dxa"/>
              <w:bottom w:w="80" w:type="dxa"/>
              <w:end w:w="120" w:type="dxa"/>
            </w:tcMar>
            <w:vAlign w:val="center"/>
          </w:tcPr>
          <w:p>
            <w:pPr>
              <w:spacing w:after="0"/>
            </w:pPr>
            <w:r>
              <w:rPr>
                <w:sz w:val="19"/>
              </w:rPr>
              <w:t>0.9943</w:t>
            </w:r>
          </w:p>
        </w:tc>
        <w:tc>
          <w:tcPr>
            <w:tcW w:type="dxa" w:w="1368"/>
            <w:tcMar>
              <w:top w:w="80" w:type="dxa"/>
              <w:start w:w="120" w:type="dxa"/>
              <w:bottom w:w="80" w:type="dxa"/>
              <w:end w:w="120" w:type="dxa"/>
            </w:tcMar>
            <w:vAlign w:val="center"/>
          </w:tcPr>
          <w:p>
            <w:pPr>
              <w:spacing w:after="0"/>
            </w:pPr>
            <w:r>
              <w:rPr>
                <w:sz w:val="19"/>
              </w:rPr>
              <w:t>39.98%</w:t>
            </w:r>
          </w:p>
        </w:tc>
        <w:tc>
          <w:tcPr>
            <w:tcW w:type="dxa" w:w="1080"/>
            <w:tcMar>
              <w:top w:w="80" w:type="dxa"/>
              <w:start w:w="120" w:type="dxa"/>
              <w:bottom w:w="80" w:type="dxa"/>
              <w:end w:w="120" w:type="dxa"/>
            </w:tcMar>
            <w:vAlign w:val="center"/>
          </w:tcPr>
          <w:p>
            <w:pPr>
              <w:spacing w:after="0"/>
            </w:pPr>
            <w:r>
              <w:rPr>
                <w:sz w:val="19"/>
              </w:rPr>
              <w:t>0.6299</w:t>
            </w:r>
          </w:p>
        </w:tc>
        <w:tc>
          <w:tcPr>
            <w:tcW w:type="dxa" w:w="1224"/>
            <w:tcMar>
              <w:top w:w="80" w:type="dxa"/>
              <w:start w:w="120" w:type="dxa"/>
              <w:bottom w:w="80" w:type="dxa"/>
              <w:end w:w="120" w:type="dxa"/>
            </w:tcMar>
            <w:vAlign w:val="center"/>
          </w:tcPr>
          <w:p>
            <w:pPr>
              <w:spacing w:after="0"/>
            </w:pPr>
            <w:r>
              <w:rPr>
                <w:sz w:val="19"/>
              </w:rPr>
              <w:t>-20.04%</w:t>
            </w:r>
          </w:p>
        </w:tc>
      </w:tr>
      <w:tr>
        <w:tc>
          <w:tcPr>
            <w:tcW w:type="dxa" w:w="1440"/>
            <w:tcMar>
              <w:top w:w="80" w:type="dxa"/>
              <w:start w:w="120" w:type="dxa"/>
              <w:bottom w:w="80" w:type="dxa"/>
              <w:end w:w="120" w:type="dxa"/>
            </w:tcMar>
            <w:vAlign w:val="center"/>
          </w:tcPr>
          <w:p>
            <w:pPr>
              <w:spacing w:after="0"/>
            </w:pPr>
            <w:r>
              <w:rPr>
                <w:sz w:val="19"/>
              </w:rPr>
              <w:t>EWA / EWC</w:t>
            </w:r>
          </w:p>
        </w:tc>
        <w:tc>
          <w:tcPr>
            <w:tcW w:type="dxa" w:w="936"/>
            <w:tcMar>
              <w:top w:w="80" w:type="dxa"/>
              <w:start w:w="120" w:type="dxa"/>
              <w:bottom w:w="80" w:type="dxa"/>
              <w:end w:w="120" w:type="dxa"/>
            </w:tcMar>
            <w:vAlign w:val="center"/>
          </w:tcPr>
          <w:p>
            <w:pPr>
              <w:spacing w:after="0"/>
            </w:pPr>
            <w:r>
              <w:rPr>
                <w:sz w:val="19"/>
              </w:rPr>
              <w:t>0.7214</w:t>
            </w:r>
          </w:p>
        </w:tc>
        <w:tc>
          <w:tcPr>
            <w:tcW w:type="dxa" w:w="1296"/>
            <w:tcMar>
              <w:top w:w="80" w:type="dxa"/>
              <w:start w:w="120" w:type="dxa"/>
              <w:bottom w:w="80" w:type="dxa"/>
              <w:end w:w="120" w:type="dxa"/>
            </w:tcMar>
            <w:vAlign w:val="center"/>
          </w:tcPr>
          <w:p>
            <w:pPr>
              <w:spacing w:after="0"/>
            </w:pPr>
            <w:r>
              <w:rPr>
                <w:sz w:val="19"/>
              </w:rPr>
              <w:t>-2.6586</w:t>
            </w:r>
          </w:p>
        </w:tc>
        <w:tc>
          <w:tcPr>
            <w:tcW w:type="dxa" w:w="1080"/>
            <w:tcMar>
              <w:top w:w="80" w:type="dxa"/>
              <w:start w:w="120" w:type="dxa"/>
              <w:bottom w:w="80" w:type="dxa"/>
              <w:end w:w="120" w:type="dxa"/>
            </w:tcMar>
            <w:vAlign w:val="center"/>
          </w:tcPr>
          <w:p>
            <w:pPr>
              <w:spacing w:after="0"/>
            </w:pPr>
            <w:r>
              <w:rPr>
                <w:sz w:val="19"/>
              </w:rPr>
              <w:t>0.2148</w:t>
            </w:r>
          </w:p>
        </w:tc>
        <w:tc>
          <w:tcPr>
            <w:tcW w:type="dxa" w:w="936"/>
            <w:tcMar>
              <w:top w:w="80" w:type="dxa"/>
              <w:start w:w="120" w:type="dxa"/>
              <w:bottom w:w="80" w:type="dxa"/>
              <w:end w:w="120" w:type="dxa"/>
            </w:tcMar>
            <w:vAlign w:val="center"/>
          </w:tcPr>
          <w:p>
            <w:pPr>
              <w:spacing w:after="0"/>
            </w:pPr>
            <w:r>
              <w:rPr>
                <w:sz w:val="19"/>
              </w:rPr>
              <w:t>0.3986</w:t>
            </w:r>
          </w:p>
        </w:tc>
        <w:tc>
          <w:tcPr>
            <w:tcW w:type="dxa" w:w="1368"/>
            <w:tcMar>
              <w:top w:w="80" w:type="dxa"/>
              <w:start w:w="120" w:type="dxa"/>
              <w:bottom w:w="80" w:type="dxa"/>
              <w:end w:w="120" w:type="dxa"/>
            </w:tcMar>
            <w:vAlign w:val="center"/>
          </w:tcPr>
          <w:p>
            <w:pPr>
              <w:spacing w:after="0"/>
            </w:pPr>
            <w:r>
              <w:rPr>
                <w:sz w:val="19"/>
              </w:rPr>
              <w:t>15.40%</w:t>
            </w:r>
          </w:p>
        </w:tc>
        <w:tc>
          <w:tcPr>
            <w:tcW w:type="dxa" w:w="1080"/>
            <w:tcMar>
              <w:top w:w="80" w:type="dxa"/>
              <w:start w:w="120" w:type="dxa"/>
              <w:bottom w:w="80" w:type="dxa"/>
              <w:end w:w="120" w:type="dxa"/>
            </w:tcMar>
            <w:vAlign w:val="center"/>
          </w:tcPr>
          <w:p>
            <w:pPr>
              <w:spacing w:after="0"/>
            </w:pPr>
            <w:r>
              <w:rPr>
                <w:sz w:val="19"/>
              </w:rPr>
              <w:t>0.6448</w:t>
            </w:r>
          </w:p>
        </w:tc>
        <w:tc>
          <w:tcPr>
            <w:tcW w:type="dxa" w:w="1224"/>
            <w:tcMar>
              <w:top w:w="80" w:type="dxa"/>
              <w:start w:w="120" w:type="dxa"/>
              <w:bottom w:w="80" w:type="dxa"/>
              <w:end w:w="120" w:type="dxa"/>
            </w:tcMar>
            <w:vAlign w:val="center"/>
          </w:tcPr>
          <w:p>
            <w:pPr>
              <w:spacing w:after="0"/>
            </w:pPr>
            <w:r>
              <w:rPr>
                <w:sz w:val="19"/>
              </w:rPr>
              <w:t>-10.06%</w:t>
            </w:r>
          </w:p>
        </w:tc>
      </w:tr>
    </w:tbl>
    <w:p/>
    <w:p>
      <w:pPr>
        <w:pStyle w:val="Heading1"/>
      </w:pPr>
      <w:r>
        <w:t>5. Interpretation and Limitations</w:t>
      </w:r>
    </w:p>
    <w:p>
      <w:r>
        <w:t>The results illustrate the difference between economic intuition, correlation, cointegration, and trading performance. Both pairs have plausible economic relationships and positive out-of-sample backtest returns. However, under the strict split-sample design, neither pair passes the Engle-Granger cointegration test during the formation period. This means the statistical evidence for a stable long-run equilibrium is weak.</w:t>
      </w:r>
    </w:p>
    <w:p>
      <w:r>
        <w:t>The positive backtest performance may reflect short-term mean reversion, favorable market conditions during the trading period, or parameter choices rather than a robust cointegration relationship. The strategy should therefore be treated as an empirical experiment rather than a fully validated trading model.</w:t>
      </w:r>
    </w:p>
    <w:p>
      <w:pPr>
        <w:pStyle w:val="ListBullet"/>
      </w:pPr>
      <w:r>
        <w:t>Transaction costs, bid-ask spreads, slippage, short-sale constraints, and borrowing costs are ignored.</w:t>
      </w:r>
    </w:p>
    <w:p>
      <w:pPr>
        <w:pStyle w:val="ListBullet"/>
      </w:pPr>
      <w:r>
        <w:t>The hedge ratio is estimated once and kept fixed, although relationships can change over time.</w:t>
      </w:r>
    </w:p>
    <w:p>
      <w:pPr>
        <w:pStyle w:val="ListBullet"/>
      </w:pPr>
      <w:r>
        <w:t>Cointegration relationships may break during regime shifts, earnings shocks, commodity cycles, or macroeconomic changes.</w:t>
      </w:r>
    </w:p>
    <w:p>
      <w:pPr>
        <w:pStyle w:val="ListBullet"/>
      </w:pPr>
      <w:r>
        <w:t>The strategy uses daily close data and does not model intraday execution.</w:t>
      </w:r>
    </w:p>
    <w:p>
      <w:pPr>
        <w:pStyle w:val="ListBullet"/>
      </w:pPr>
      <w:r>
        <w:t>The sample period is limited, so results may not generalize to future markets.</w:t>
      </w:r>
    </w:p>
    <w:p>
      <w:pPr>
        <w:pStyle w:val="Heading1"/>
      </w:pPr>
      <w:r>
        <w:t>Appendix: Python Code</w:t>
      </w:r>
    </w:p>
    <w:p>
      <w:r>
        <w:t>The working Colab-ready notebook is provided in:</w:t>
      </w:r>
    </w:p>
    <w:p>
      <w:pPr>
        <w:spacing w:before="40" w:after="160"/>
        <w:ind w:left="360"/>
      </w:pPr>
      <w:r>
        <w:rPr>
          <w:rFonts w:ascii="Consolas" w:hAnsi="Consolas" w:eastAsia="Consolas"/>
          <w:sz w:val="19"/>
        </w:rPr>
        <w:t>notebook/pairs_trading_colab.ipynb</w:t>
      </w:r>
    </w:p>
    <w:p>
      <w:r>
        <w:t>The equivalent Python script is provided in:</w:t>
      </w:r>
    </w:p>
    <w:p>
      <w:pPr>
        <w:spacing w:before="40" w:after="160"/>
        <w:ind w:left="360"/>
      </w:pPr>
      <w:r>
        <w:rPr>
          <w:rFonts w:ascii="Consolas" w:hAnsi="Consolas" w:eastAsia="Consolas"/>
          <w:sz w:val="19"/>
        </w:rPr>
        <w:t>notebook/pairs_trading_colab.py</w:t>
      </w:r>
    </w:p>
    <w:p>
      <w:r>
        <w:t>The code downloads data from Yahoo Finance, computes correlations, estimates OLS hedge ratios, runs Engle-Granger cointegration tests, constructs spreads and rolling z-scores, backtests the trading strategy, and reports total return, Sharpe ratio, and maximum drawdown.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