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9339C" w14:paraId="59308777" w14:textId="77777777">
      <w:pPr>
        <w:spacing w:before="240" w:line="288" w:lineRule="auto"/>
      </w:pPr>
      <w:bookmarkStart w:id="0" w:name="joseph_james_amalan"/>
      <w:r>
        <w:rPr>
          <w:b/>
          <w:sz w:val="56"/>
        </w:rPr>
        <w:t>JOSEPH JAMES AMALAN</w:t>
      </w:r>
      <w:bookmarkEnd w:id="0"/>
    </w:p>
    <w:p w:rsidR="0009339C" w14:paraId="35C9C04A" w14:textId="77777777">
      <w:pPr>
        <w:spacing w:after="210"/>
      </w:pPr>
      <w:r>
        <w:t xml:space="preserve">+91-9566912464 | </w:t>
      </w:r>
      <w:hyperlink r:id="rId4" w:history="1">
        <w:r>
          <w:rPr>
            <w:rFonts w:eastAsia="Georgia" w:hAnsi="Georgia" w:cs="Georgia"/>
            <w:color w:val="4472C4"/>
          </w:rPr>
          <w:t>jose.amalan732@gmail.com</w:t>
        </w:r>
      </w:hyperlink>
      <w:r>
        <w:t xml:space="preserve"> | Bengaluru, Karnataka, India</w:t>
      </w:r>
      <w:r>
        <w:br/>
        <w:t xml:space="preserve">LinkedIn: </w:t>
      </w:r>
      <w:hyperlink r:id="rId5" w:history="1">
        <w:r>
          <w:rPr>
            <w:color w:val="4472C4"/>
          </w:rPr>
          <w:t>https://www.linkedin.com/in/joseph-james-amalan-soosairaj-ab24aa32</w:t>
        </w:r>
      </w:hyperlink>
    </w:p>
    <w:p w:rsidR="0009339C" w14:paraId="17E2AB7B" w14:textId="77777777">
      <w:r>
        <w:rPr>
          <w:noProof/>
        </w:rPr>
        <w:pict>
          <v:rect id="_x0000_i1025" style="width:434.5pt;height:0.05pt;mso-height-percent:0;mso-width-percent:0" o:hralign="center" o:hrstd="t" o:hr="t"/>
        </w:pict>
      </w:r>
    </w:p>
    <w:p w:rsidR="0009339C" w14:paraId="6DD943EE" w14:textId="7DC9F483">
      <w:pPr>
        <w:spacing w:before="240" w:line="271" w:lineRule="auto"/>
      </w:pPr>
      <w:bookmarkStart w:id="1" w:name="regulatory_affairs_quality_assura_1eb2e2"/>
      <w:r>
        <w:rPr>
          <w:b/>
          <w:sz w:val="42"/>
        </w:rPr>
        <w:t>REGULATORY AFFAIRS &amp; QUALITY ASSURANCE</w:t>
      </w:r>
      <w:bookmarkEnd w:id="1"/>
    </w:p>
    <w:p w:rsidR="0009339C" w14:paraId="430FEEC8" w14:textId="77777777">
      <w:pPr>
        <w:spacing w:after="210"/>
      </w:pPr>
      <w:r>
        <w:t>Results-driven Regulatory Affairs and Quality Assurance professional with 12+ years of experience in medical devices, IVDs, and pharmaceuticals. Proven expertise in EU MDR/IVDR compliance, FDA 510(k) submissions, WHO PQ, and ISO 13485 QMS implementation. Successfully led 25+ technical file submissions to Notified Bodies and regulatory authorities across global markets. Expert in DHF remediation, risk management, clinical evaluation, and cross-functional team leadership for product lifecycle compliance.</w:t>
      </w:r>
    </w:p>
    <w:p w:rsidR="0009339C" w14:paraId="55484918" w14:textId="77777777">
      <w:r>
        <w:rPr>
          <w:noProof/>
        </w:rPr>
        <w:pict>
          <v:rect id="_x0000_i1026" style="width:434.5pt;height:0.05pt;mso-height-percent:0;mso-width-percent:0" o:hralign="center" o:hrstd="t" o:hr="t"/>
        </w:pict>
      </w:r>
    </w:p>
    <w:p w:rsidR="0009339C" w14:paraId="512900C6" w14:textId="77777777">
      <w:pPr>
        <w:spacing w:before="240" w:line="271" w:lineRule="auto"/>
      </w:pPr>
      <w:bookmarkStart w:id="2" w:name="core_competencies"/>
      <w:r>
        <w:rPr>
          <w:b/>
          <w:sz w:val="42"/>
        </w:rPr>
        <w:t>CORE COMPETENCIES</w:t>
      </w:r>
      <w:bookmarkEnd w:id="2"/>
    </w:p>
    <w:p w:rsidR="0009339C" w14:paraId="2D0F8AB7" w14:textId="77777777">
      <w:pPr>
        <w:spacing w:after="210"/>
      </w:pPr>
      <w:r>
        <w:rPr>
          <w:b/>
        </w:rPr>
        <w:t>Regulatory Submissions:</w:t>
      </w:r>
      <w:r>
        <w:t xml:space="preserve"> EU MDR | EU IVDR | FDA 510(k) | WHO PQ | CDSCO | ASEAN MDD | MDSAP | </w:t>
      </w:r>
      <w:r>
        <w:t>RoW</w:t>
      </w:r>
      <w:r>
        <w:br/>
      </w:r>
      <w:r>
        <w:rPr>
          <w:b/>
        </w:rPr>
        <w:t>Quality Systems:</w:t>
      </w:r>
      <w:r>
        <w:t xml:space="preserve"> ISO 13485 | ISO 14971 | IEC 62366-1 | IEC 62304 | IEC 60601-1 | 21 CFR Part 820 | </w:t>
      </w:r>
      <w:r>
        <w:t>GxP</w:t>
      </w:r>
      <w:r>
        <w:br/>
      </w:r>
      <w:r>
        <w:rPr>
          <w:b/>
        </w:rPr>
        <w:t>Technical Documentation:</w:t>
      </w:r>
      <w:r>
        <w:t xml:space="preserve"> DHF Remediation | Technical Files | Design Trace Matrix | CER | PER | GSPR | STED | </w:t>
      </w:r>
      <w:r>
        <w:t>DoC</w:t>
      </w:r>
      <w:r>
        <w:br/>
      </w:r>
      <w:r>
        <w:rPr>
          <w:b/>
        </w:rPr>
        <w:t>Compliance &amp; Audits:</w:t>
      </w:r>
      <w:r>
        <w:t xml:space="preserve"> Notified Body Audits | WHO PQ Audits | Internal Audits | CAPA Management | Gap Assessments</w:t>
      </w:r>
      <w:r>
        <w:br/>
      </w:r>
      <w:r>
        <w:rPr>
          <w:b/>
        </w:rPr>
        <w:t>Project Management:</w:t>
      </w:r>
      <w:r>
        <w:t xml:space="preserve"> Cross-Functional Leadership | Vendor Audits | Process Validation | Equipment Qualification</w:t>
      </w:r>
      <w:r>
        <w:t xml:space="preserve"> | CSV</w:t>
      </w:r>
    </w:p>
    <w:p w:rsidR="0009339C" w14:paraId="48495FB4" w14:textId="77777777">
      <w:r>
        <w:rPr>
          <w:noProof/>
        </w:rPr>
        <w:pict>
          <v:rect id="_x0000_i1027" style="width:434.5pt;height:0.05pt;mso-height-percent:0;mso-width-percent:0" o:hralign="center" o:hrstd="t" o:hr="t"/>
        </w:pict>
      </w:r>
    </w:p>
    <w:p w:rsidR="0009339C" w14:paraId="41E95255" w14:textId="77777777">
      <w:pPr>
        <w:spacing w:before="240" w:line="271" w:lineRule="auto"/>
      </w:pPr>
      <w:bookmarkStart w:id="3" w:name="professional_experience"/>
      <w:r>
        <w:rPr>
          <w:b/>
          <w:sz w:val="42"/>
        </w:rPr>
        <w:t>PROFESSIONAL EXPERIENCE</w:t>
      </w:r>
      <w:bookmarkEnd w:id="3"/>
    </w:p>
    <w:p w:rsidR="0009339C" w14:paraId="2F086DD5" w14:textId="77777777">
      <w:pPr>
        <w:spacing w:before="240" w:line="271" w:lineRule="auto"/>
      </w:pPr>
      <w:bookmarkStart w:id="4" w:name="deputy_manager_quality_regulatory_a19bb0"/>
      <w:r>
        <w:rPr>
          <w:rFonts w:eastAsia="Georgia" w:hAnsi="Georgia" w:cs="Georgia"/>
          <w:b/>
          <w:sz w:val="33"/>
        </w:rPr>
        <w:t>Deputy Manager – Quality &amp; Regulatory Affairs</w:t>
      </w:r>
      <w:bookmarkEnd w:id="4"/>
    </w:p>
    <w:p w:rsidR="0009339C" w14:paraId="716A4DE2" w14:textId="77777777">
      <w:pPr>
        <w:spacing w:after="210"/>
      </w:pPr>
      <w:r>
        <w:rPr>
          <w:b/>
        </w:rPr>
        <w:t>Molbio</w:t>
      </w:r>
      <w:r>
        <w:rPr>
          <w:b/>
        </w:rPr>
        <w:t xml:space="preserve"> Diagnostics (</w:t>
      </w:r>
      <w:r>
        <w:rPr>
          <w:b/>
        </w:rPr>
        <w:t>Bigtec</w:t>
      </w:r>
      <w:r>
        <w:rPr>
          <w:b/>
        </w:rPr>
        <w:t xml:space="preserve"> Labs), Bangalore</w:t>
      </w:r>
      <w:r>
        <w:rPr>
          <w:rFonts w:eastAsia="Georgia" w:hAnsi="Georgia" w:cs="Georgia"/>
        </w:rPr>
        <w:t xml:space="preserve"> | September 2024 – Present</w:t>
      </w:r>
      <w:r>
        <w:br/>
      </w:r>
      <w:r>
        <w:rPr>
          <w:i/>
        </w:rPr>
        <w:t>Medical Devices: RT-PCR Kits, IVD Instruments, Dry Chemistry Diagnostics</w:t>
      </w:r>
    </w:p>
    <w:p w:rsidR="0009339C" w14:paraId="163AB836" w14:textId="77777777">
      <w:pPr>
        <w:numPr>
          <w:ilvl w:val="0"/>
          <w:numId w:val="1"/>
        </w:numPr>
      </w:pPr>
      <w:r>
        <w:t>Lead end-to-end regulatory submissions including 2 WHO PQ dossiers and CE Technical Files for RT-PCR diagnostic systems, achieving 100% submission acceptance rate</w:t>
      </w:r>
    </w:p>
    <w:p w:rsidR="0009339C" w14:paraId="65B9B2AD" w14:textId="77777777">
      <w:pPr>
        <w:numPr>
          <w:ilvl w:val="0"/>
          <w:numId w:val="1"/>
        </w:numPr>
      </w:pPr>
      <w:r>
        <w:t>Manage Design History Files (DHF) and Technical File remediation for IVD instruments and assays, ensuring EU IVDR and CDSCO compliance</w:t>
      </w:r>
    </w:p>
    <w:p w:rsidR="0009339C" w14:paraId="2008867E" w14:textId="77777777">
      <w:pPr>
        <w:numPr>
          <w:ilvl w:val="0"/>
          <w:numId w:val="1"/>
        </w:numPr>
      </w:pPr>
      <w:r>
        <w:t>Prepare and review scientific validity reports, performance evaluation reports (PER), and verification/validation (V&amp;V) protocols aligned with geographic regulatory requirements</w:t>
      </w:r>
    </w:p>
    <w:p w:rsidR="0009339C" w14:paraId="021C5BFB" w14:textId="77777777">
      <w:pPr>
        <w:numPr>
          <w:ilvl w:val="0"/>
          <w:numId w:val="1"/>
        </w:numPr>
      </w:pPr>
      <w:r>
        <w:t>Draft regulatory response letters to WHO, CDSCO, and Notified Bodies, successfully resolving CAP requests and deficiency observations within mandated timelines</w:t>
      </w:r>
    </w:p>
    <w:p w:rsidR="0009339C" w14:paraId="1501553F" w14:textId="77777777">
      <w:pPr>
        <w:numPr>
          <w:ilvl w:val="0"/>
          <w:numId w:val="1"/>
        </w:numPr>
      </w:pPr>
      <w:r>
        <w:t>Coordinate Notified Body and WHO PQ audits, driving timely CAPA closure and maintaining zero non-conformances across 3 audit cycles</w:t>
      </w:r>
    </w:p>
    <w:p w:rsidR="0009339C" w14:paraId="6F301A0B" w14:textId="77777777">
      <w:pPr>
        <w:numPr>
          <w:ilvl w:val="0"/>
          <w:numId w:val="1"/>
        </w:numPr>
      </w:pPr>
      <w:r>
        <w:t>Develop Design Development Plans, Design Inputs, Risk Management Plans (ISO 14971), and DFMEAs for IVD instruments and software (</w:t>
      </w:r>
      <w:r>
        <w:t>SaMD</w:t>
      </w:r>
      <w:r>
        <w:t>)</w:t>
      </w:r>
    </w:p>
    <w:p w:rsidR="0009339C" w14:paraId="236405C5" w14:textId="77777777">
      <w:pPr>
        <w:numPr>
          <w:ilvl w:val="0"/>
          <w:numId w:val="1"/>
        </w:numPr>
      </w:pPr>
      <w:r>
        <w:t>Collaborate with cross-functional teams (R&amp;D, Manufacturing, Clinical) to integrate regulatory requirements into product development lifecycle</w:t>
      </w:r>
    </w:p>
    <w:p w:rsidR="0009339C" w14:paraId="4F3E0E16" w14:textId="77777777">
      <w:pPr>
        <w:spacing w:before="240" w:line="271" w:lineRule="auto"/>
      </w:pPr>
      <w:bookmarkStart w:id="5" w:name="lead_dhf_remediation_engineer_qara"/>
      <w:r>
        <w:rPr>
          <w:rFonts w:eastAsia="Georgia" w:hAnsi="Georgia" w:cs="Georgia"/>
          <w:b/>
          <w:sz w:val="33"/>
        </w:rPr>
        <w:t>Lead DHF Remediation Engineer – QARA</w:t>
      </w:r>
      <w:bookmarkEnd w:id="5"/>
    </w:p>
    <w:p w:rsidR="0009339C" w14:paraId="1AAF52B0" w14:textId="77777777">
      <w:pPr>
        <w:spacing w:after="210"/>
      </w:pPr>
      <w:r>
        <w:rPr>
          <w:b/>
        </w:rPr>
        <w:t>Cyient</w:t>
      </w:r>
      <w:r>
        <w:rPr>
          <w:b/>
        </w:rPr>
        <w:t xml:space="preserve"> Limited, Hyderabad</w:t>
      </w:r>
      <w:r>
        <w:rPr>
          <w:rFonts w:eastAsia="Georgia" w:hAnsi="Georgia" w:cs="Georgia"/>
        </w:rPr>
        <w:t xml:space="preserve"> | November 2021 – August 2024</w:t>
      </w:r>
      <w:r>
        <w:br/>
      </w:r>
      <w:r>
        <w:rPr>
          <w:i/>
        </w:rPr>
        <w:t xml:space="preserve">Clients: </w:t>
      </w:r>
      <w:r>
        <w:rPr>
          <w:i/>
        </w:rPr>
        <w:t>Acumed</w:t>
      </w:r>
      <w:r>
        <w:rPr>
          <w:i/>
        </w:rPr>
        <w:t xml:space="preserve">, </w:t>
      </w:r>
      <w:r>
        <w:rPr>
          <w:i/>
        </w:rPr>
        <w:t>Osteomed</w:t>
      </w:r>
      <w:r>
        <w:rPr>
          <w:i/>
        </w:rPr>
        <w:t>, Medtronic MEIC | Devices: Orthopedic Implants, ENT, Neuro-Cranial Navigation</w:t>
      </w:r>
    </w:p>
    <w:p w:rsidR="0009339C" w14:paraId="5303E49B" w14:textId="77777777">
      <w:pPr>
        <w:numPr>
          <w:ilvl w:val="0"/>
          <w:numId w:val="2"/>
        </w:numPr>
      </w:pPr>
      <w:r>
        <w:t>Conducted EU MDD-to-MDR gap assessments for 40+ medical devices and prepared compliance documentation, achieving successful transition for 100% of assessed products</w:t>
      </w:r>
    </w:p>
    <w:p w:rsidR="0009339C" w14:paraId="5765F0C3" w14:textId="77777777">
      <w:pPr>
        <w:numPr>
          <w:ilvl w:val="0"/>
          <w:numId w:val="2"/>
        </w:numPr>
      </w:pPr>
      <w:r>
        <w:t>Submitted 10 CE-compliant Technical Documentation sets to Notified Bodies with zero major findings</w:t>
      </w:r>
    </w:p>
    <w:p w:rsidR="0009339C" w14:paraId="7CD25C9A" w14:textId="77777777">
      <w:pPr>
        <w:numPr>
          <w:ilvl w:val="0"/>
          <w:numId w:val="2"/>
        </w:numPr>
      </w:pPr>
      <w:r>
        <w:t>Led site transfer regulatory submissions to LATAM, Asia, and Russia, supporting global market expansion for 15+ product families</w:t>
      </w:r>
    </w:p>
    <w:p w:rsidR="0009339C" w14:paraId="2D377223" w14:textId="77777777">
      <w:pPr>
        <w:numPr>
          <w:ilvl w:val="0"/>
          <w:numId w:val="2"/>
        </w:numPr>
      </w:pPr>
      <w:r>
        <w:t>Reviewed and remediated DHF documentation including Design Trace Matrices, V&amp;V protocols, risk analysis (FMEA), and technical files</w:t>
      </w:r>
    </w:p>
    <w:p w:rsidR="0009339C" w14:paraId="43227BA9" w14:textId="77777777">
      <w:pPr>
        <w:numPr>
          <w:ilvl w:val="0"/>
          <w:numId w:val="2"/>
        </w:numPr>
      </w:pPr>
      <w:r>
        <w:t>Prepared Clinical Evaluation Reports (CER), Summary of Safety and Clinical Performance (SSCP), and Instructions for Use (IFU) in accordance with EU MDR requirements</w:t>
      </w:r>
    </w:p>
    <w:p w:rsidR="0009339C" w14:paraId="1CEEDF29" w14:textId="77777777">
      <w:pPr>
        <w:numPr>
          <w:ilvl w:val="0"/>
          <w:numId w:val="2"/>
        </w:numPr>
      </w:pPr>
      <w:r>
        <w:t>Managed country-specific renewal and re-registration dossiers, change notifications, and regulatory query responses across 20+ global markets</w:t>
      </w:r>
    </w:p>
    <w:p w:rsidR="0009339C" w14:paraId="12F3D66E" w14:textId="77777777">
      <w:pPr>
        <w:numPr>
          <w:ilvl w:val="0"/>
          <w:numId w:val="2"/>
        </w:numPr>
      </w:pPr>
      <w:r>
        <w:t>Drafted Declarations of Conformity (</w:t>
      </w:r>
      <w:r>
        <w:t>DoC</w:t>
      </w:r>
      <w:r>
        <w:t>), Letters of Authorization (</w:t>
      </w:r>
      <w:r>
        <w:t>LoA</w:t>
      </w:r>
      <w:r>
        <w:t>), technical justifications, and GSPR compliance matrices</w:t>
      </w:r>
    </w:p>
    <w:p w:rsidR="0009339C" w14:paraId="2F75E5B8" w14:textId="77777777">
      <w:pPr>
        <w:spacing w:before="240" w:line="271" w:lineRule="auto"/>
      </w:pPr>
      <w:bookmarkStart w:id="6" w:name="lead_engineer_medical_device_regu_2e203d"/>
      <w:r>
        <w:rPr>
          <w:rFonts w:eastAsia="Georgia" w:hAnsi="Georgia" w:cs="Georgia"/>
          <w:b/>
          <w:sz w:val="33"/>
        </w:rPr>
        <w:t>Lead Engineer – Medical Device Regulatory &amp; Quality Analyst</w:t>
      </w:r>
      <w:bookmarkEnd w:id="6"/>
    </w:p>
    <w:p w:rsidR="0009339C" w14:paraId="58FAA0AE" w14:textId="77777777">
      <w:pPr>
        <w:spacing w:after="210"/>
      </w:pPr>
      <w:r>
        <w:rPr>
          <w:b/>
        </w:rPr>
        <w:t>HCL Technologies, Madurai</w:t>
      </w:r>
      <w:r>
        <w:rPr>
          <w:rFonts w:eastAsia="Georgia" w:hAnsi="Georgia" w:cs="Georgia"/>
        </w:rPr>
        <w:t xml:space="preserve"> | June 2017 – October 2021</w:t>
      </w:r>
      <w:r>
        <w:br/>
      </w:r>
      <w:r>
        <w:rPr>
          <w:i/>
        </w:rPr>
        <w:t xml:space="preserve">Clients: </w:t>
      </w:r>
      <w:r>
        <w:rPr>
          <w:i/>
        </w:rPr>
        <w:t>TransEnterix</w:t>
      </w:r>
      <w:r>
        <w:rPr>
          <w:i/>
        </w:rPr>
        <w:t>/</w:t>
      </w:r>
      <w:r>
        <w:rPr>
          <w:i/>
        </w:rPr>
        <w:t>Asensus</w:t>
      </w:r>
      <w:r>
        <w:rPr>
          <w:i/>
        </w:rPr>
        <w:t xml:space="preserve"> Surgical, Olympus Japan, Roche </w:t>
      </w:r>
      <w:r>
        <w:rPr>
          <w:i/>
        </w:rPr>
        <w:t>Ventana</w:t>
      </w:r>
    </w:p>
    <w:p w:rsidR="0009339C" w14:paraId="21F30F13" w14:textId="77777777">
      <w:pPr>
        <w:numPr>
          <w:ilvl w:val="0"/>
          <w:numId w:val="3"/>
        </w:numPr>
      </w:pPr>
      <w:r>
        <w:t>Performed EU MDD vs MDR and EU IVDD vs IVDR comparative assessments for surgical robotics and IVD platforms</w:t>
      </w:r>
    </w:p>
    <w:p w:rsidR="0009339C" w14:paraId="049619E8" w14:textId="77777777">
      <w:pPr>
        <w:numPr>
          <w:ilvl w:val="0"/>
          <w:numId w:val="3"/>
        </w:numPr>
      </w:pPr>
      <w:r>
        <w:t>Completed 15+ Technical File submissions to Notified Bodies, supporting CE marking for high-risk medical devices</w:t>
      </w:r>
    </w:p>
    <w:p w:rsidR="0009339C" w14:paraId="0D6C9022" w14:textId="77777777">
      <w:pPr>
        <w:numPr>
          <w:ilvl w:val="0"/>
          <w:numId w:val="3"/>
        </w:numPr>
      </w:pPr>
      <w:r>
        <w:t>Conducted change impact analysis and supported FDA 510(k) submissions (Traditional and Special), including complete file preparation</w:t>
      </w:r>
    </w:p>
    <w:p w:rsidR="0009339C" w14:paraId="18E21A55" w14:textId="77777777">
      <w:pPr>
        <w:numPr>
          <w:ilvl w:val="0"/>
          <w:numId w:val="3"/>
        </w:numPr>
      </w:pPr>
      <w:r>
        <w:t>Developed country-specific regulatory checklists and submission strategies for global market approvals across US, EU, and APAC regions</w:t>
      </w:r>
    </w:p>
    <w:p w:rsidR="0009339C" w14:paraId="3518E846" w14:textId="77777777">
      <w:pPr>
        <w:numPr>
          <w:ilvl w:val="0"/>
          <w:numId w:val="3"/>
        </w:numPr>
      </w:pPr>
      <w:r>
        <w:t>Led DHF remediation projects coordinating with internal SMEs, achieving 95% on-time delivery of regulatory documentation</w:t>
      </w:r>
    </w:p>
    <w:p w:rsidR="0009339C" w14:paraId="1793A484" w14:textId="77777777">
      <w:pPr>
        <w:numPr>
          <w:ilvl w:val="0"/>
          <w:numId w:val="3"/>
        </w:numPr>
      </w:pPr>
      <w:r>
        <w:t>Trained 10+ junior team members and cross-functional staff in medical device QARA domains and ISO 13485 documentation practices</w:t>
      </w:r>
    </w:p>
    <w:p w:rsidR="0009339C" w14:paraId="161B22B0" w14:textId="77777777">
      <w:pPr>
        <w:numPr>
          <w:ilvl w:val="0"/>
          <w:numId w:val="3"/>
        </w:numPr>
      </w:pPr>
      <w:r>
        <w:t>Core team member in ISO 13485 internal audits, contributing to automated GSPR compliance tool creation</w:t>
      </w:r>
    </w:p>
    <w:p w:rsidR="0009339C" w14:paraId="2A0E7F66" w14:textId="77777777">
      <w:r>
        <w:rPr>
          <w:noProof/>
        </w:rPr>
        <w:pict>
          <v:rect id="_x0000_i1028" style="width:434.5pt;height:0.05pt;mso-height-percent:0;mso-width-percent:0" o:hralign="center" o:hrstd="t" o:hr="t"/>
        </w:pict>
      </w:r>
    </w:p>
    <w:p w:rsidR="0009339C" w14:paraId="093A2E25" w14:textId="77777777">
      <w:pPr>
        <w:spacing w:before="240" w:line="271" w:lineRule="auto"/>
      </w:pPr>
      <w:bookmarkStart w:id="7" w:name="early_career_experience"/>
      <w:r>
        <w:rPr>
          <w:b/>
          <w:sz w:val="42"/>
        </w:rPr>
        <w:t>EARLY CAREER EXPERIENCE</w:t>
      </w:r>
      <w:bookmarkEnd w:id="7"/>
    </w:p>
    <w:p w:rsidR="0009339C" w14:paraId="1808FCDD" w14:textId="77777777">
      <w:pPr>
        <w:spacing w:after="210"/>
      </w:pPr>
      <w:r>
        <w:rPr>
          <w:b/>
        </w:rPr>
        <w:t>Analyst-A3 Quality Compliance</w:t>
      </w:r>
      <w:r>
        <w:rPr>
          <w:rFonts w:eastAsia="Georgia" w:hAnsi="Georgia" w:cs="Georgia"/>
        </w:rPr>
        <w:t xml:space="preserve"> | Global Value Web Technologies, Chennai | Nov 2015 – Oct 2016</w:t>
      </w:r>
      <w:r>
        <w:br/>
      </w:r>
      <w:r>
        <w:rPr>
          <w:b/>
        </w:rPr>
        <w:t>Officer-QA</w:t>
      </w:r>
      <w:r>
        <w:rPr>
          <w:rFonts w:eastAsia="Georgia" w:hAnsi="Georgia" w:cs="Georgia"/>
        </w:rPr>
        <w:t xml:space="preserve"> | </w:t>
      </w:r>
      <w:r>
        <w:rPr>
          <w:rFonts w:eastAsia="Georgia" w:hAnsi="Georgia" w:cs="Georgia"/>
        </w:rPr>
        <w:t>Eucare</w:t>
      </w:r>
      <w:r>
        <w:rPr>
          <w:rFonts w:eastAsia="Georgia" w:hAnsi="Georgia" w:cs="Georgia"/>
        </w:rPr>
        <w:t xml:space="preserve"> Pharmaceuticals (</w:t>
      </w:r>
      <w:r>
        <w:rPr>
          <w:rFonts w:eastAsia="Georgia" w:hAnsi="Georgia" w:cs="Georgia"/>
        </w:rPr>
        <w:t>Urgo</w:t>
      </w:r>
      <w:r>
        <w:rPr>
          <w:rFonts w:eastAsia="Georgia" w:hAnsi="Georgia" w:cs="Georgia"/>
        </w:rPr>
        <w:t>), Chennai | Aug 2014 – Nov 2015</w:t>
      </w:r>
      <w:r>
        <w:br/>
      </w:r>
      <w:r>
        <w:rPr>
          <w:b/>
        </w:rPr>
        <w:t>Officer-QA</w:t>
      </w:r>
      <w:r>
        <w:rPr>
          <w:rFonts w:eastAsia="Georgia" w:hAnsi="Georgia" w:cs="Georgia"/>
        </w:rPr>
        <w:t xml:space="preserve"> | Quantum Drugs and Chemicals, Madurai | Oct 2012 – May 2014</w:t>
      </w:r>
    </w:p>
    <w:p w:rsidR="0009339C" w14:paraId="2BD95F56" w14:textId="77777777">
      <w:r>
        <w:rPr>
          <w:noProof/>
        </w:rPr>
        <w:pict>
          <v:rect id="_x0000_i1029" style="width:434.5pt;height:0.05pt;mso-height-percent:0;mso-width-percent:0" o:hralign="center" o:hrstd="t" o:hr="t"/>
        </w:pict>
      </w:r>
    </w:p>
    <w:p w:rsidR="0009339C" w14:paraId="4D2B30CC" w14:textId="77777777">
      <w:pPr>
        <w:spacing w:before="240" w:line="271" w:lineRule="auto"/>
      </w:pPr>
      <w:bookmarkStart w:id="8" w:name="education_certifications"/>
      <w:r>
        <w:rPr>
          <w:b/>
          <w:sz w:val="42"/>
        </w:rPr>
        <w:t>EDUCATION &amp; CERTIFICATIONS</w:t>
      </w:r>
      <w:bookmarkEnd w:id="8"/>
    </w:p>
    <w:p w:rsidR="0009339C" w14:paraId="0CFBD1B0" w14:textId="77777777">
      <w:pPr>
        <w:spacing w:after="210"/>
      </w:pPr>
      <w:r>
        <w:rPr>
          <w:b/>
        </w:rPr>
        <w:t>Bachelor of Technology in Biotechnology</w:t>
      </w:r>
      <w:r>
        <w:rPr>
          <w:rFonts w:eastAsia="Georgia" w:hAnsi="Georgia" w:cs="Georgia"/>
        </w:rPr>
        <w:t xml:space="preserve"> | </w:t>
      </w:r>
      <w:r>
        <w:rPr>
          <w:rFonts w:eastAsia="Georgia" w:hAnsi="Georgia" w:cs="Georgia"/>
        </w:rPr>
        <w:t>Kalasalingam</w:t>
      </w:r>
      <w:r>
        <w:rPr>
          <w:rFonts w:eastAsia="Georgia" w:hAnsi="Georgia" w:cs="Georgia"/>
        </w:rPr>
        <w:t xml:space="preserve"> University, </w:t>
      </w:r>
      <w:r>
        <w:rPr>
          <w:rFonts w:eastAsia="Georgia" w:hAnsi="Georgia" w:cs="Georgia"/>
        </w:rPr>
        <w:t>Krishnankoil</w:t>
      </w:r>
      <w:r>
        <w:rPr>
          <w:rFonts w:eastAsia="Georgia" w:hAnsi="Georgia" w:cs="Georgia"/>
        </w:rPr>
        <w:t xml:space="preserve"> | 2008 – 2012</w:t>
      </w:r>
    </w:p>
    <w:p w:rsidR="0009339C" w14:paraId="33A7FCAB" w14:textId="77777777">
      <w:pPr>
        <w:spacing w:after="210"/>
      </w:pPr>
      <w:r>
        <w:rPr>
          <w:b/>
        </w:rPr>
        <w:t>Certifications:</w:t>
      </w:r>
    </w:p>
    <w:p w:rsidR="0009339C" w14:paraId="4E94FAA5" w14:textId="77777777">
      <w:pPr>
        <w:numPr>
          <w:ilvl w:val="0"/>
          <w:numId w:val="4"/>
        </w:numPr>
      </w:pPr>
      <w:r>
        <w:rPr>
          <w:rFonts w:eastAsia="Georgia" w:hAnsi="Georgia" w:cs="Georgia"/>
        </w:rPr>
        <w:t>Certified Internal Auditor – ISO 13485 (BSI)</w:t>
      </w:r>
    </w:p>
    <w:p w:rsidR="0009339C" w14:paraId="44607391" w14:textId="77777777">
      <w:pPr>
        <w:numPr>
          <w:ilvl w:val="0"/>
          <w:numId w:val="4"/>
        </w:numPr>
      </w:pPr>
      <w:r>
        <w:rPr>
          <w:rFonts w:eastAsia="Georgia" w:hAnsi="Georgia" w:cs="Georgia"/>
        </w:rPr>
        <w:t>Internal Auditor Training – MDSAP (BSI)</w:t>
      </w:r>
    </w:p>
    <w:p w:rsidR="0009339C" w14:paraId="433E6388" w14:textId="77777777">
      <w:pPr>
        <w:numPr>
          <w:ilvl w:val="0"/>
          <w:numId w:val="4"/>
        </w:numPr>
      </w:pPr>
      <w:r>
        <w:t>EU MDR Training (TUV)</w:t>
      </w:r>
    </w:p>
    <w:p w:rsidR="0009339C" w14:paraId="4B7D3AC9" w14:textId="77777777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Emerging Leadership Program (ELP) – </w:t>
      </w:r>
      <w:r>
        <w:rPr>
          <w:rFonts w:eastAsia="Georgia" w:hAnsi="Georgia" w:cs="Georgia"/>
        </w:rPr>
        <w:t>Cyient</w:t>
      </w:r>
    </w:p>
    <w:p w:rsidR="0009339C" w14:paraId="1E451DD1" w14:textId="77777777">
      <w:r>
        <w:rPr>
          <w:noProof/>
        </w:rPr>
        <w:pict>
          <v:rect id="_x0000_i1030" style="width:434.5pt;height:0.05pt;mso-height-percent:0;mso-width-percent:0" o:hralign="center" o:hrstd="t" o:hr="t"/>
        </w:pict>
      </w:r>
    </w:p>
    <w:p w:rsidR="0009339C" w14:paraId="5C95AADF" w14:textId="77777777">
      <w:pPr>
        <w:spacing w:before="240" w:line="271" w:lineRule="auto"/>
      </w:pPr>
      <w:bookmarkStart w:id="9" w:name="technical_skills_tools"/>
      <w:r>
        <w:rPr>
          <w:b/>
          <w:sz w:val="42"/>
        </w:rPr>
        <w:t>TECHNICAL SKILLS &amp; TOOLS</w:t>
      </w:r>
      <w:bookmarkEnd w:id="9"/>
    </w:p>
    <w:p w:rsidR="0009339C" w14:paraId="74C925F1" w14:textId="77777777">
      <w:pPr>
        <w:spacing w:after="210"/>
      </w:pPr>
      <w:r>
        <w:rPr>
          <w:b/>
        </w:rPr>
        <w:t>Regulatory Standards:</w:t>
      </w:r>
      <w:r>
        <w:t xml:space="preserve"> EU MDR 2017/745 | EU IVDR 2017/746 | MDSAP | ISO 13485 | ISO 14971 | IEC 62366-1 | IEC 62304 | IEC 60601-1 | IEC 61010-1 | ISO 15223-1</w:t>
      </w:r>
      <w:r>
        <w:br/>
      </w:r>
      <w:r>
        <w:rPr>
          <w:b/>
        </w:rPr>
        <w:t>Systems &amp; Tools:</w:t>
      </w:r>
      <w:r>
        <w:t xml:space="preserve"> </w:t>
      </w:r>
      <w:r>
        <w:t>LabWare</w:t>
      </w:r>
      <w:r>
        <w:t xml:space="preserve"> LIMS | SAP | </w:t>
      </w:r>
      <w:r>
        <w:t>Windchill</w:t>
      </w:r>
      <w:r>
        <w:t xml:space="preserve"> PLM | Agile | </w:t>
      </w:r>
      <w:r>
        <w:t>DocHub</w:t>
      </w:r>
      <w:r>
        <w:t xml:space="preserve"> | RIMS | JIRA | MS Power BI | </w:t>
      </w:r>
      <w:r>
        <w:t>Enovia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width:1pt;height:1pt;margin-top:0;margin-left:0;position:absolute;z-index:251658240">
            <v:imagedata r:id="rId6"/>
          </v:shape>
        </w:pict>
      </w:r>
    </w:p>
    <w:sectPr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B852E9"/>
    <w:multiLevelType w:val="hybridMultilevel"/>
    <w:tmpl w:val="FFFFFFFF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451903B1"/>
    <w:multiLevelType w:val="hybridMultilevel"/>
    <w:tmpl w:val="FFFFFFFF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6BF02D07"/>
    <w:multiLevelType w:val="hybridMultilevel"/>
    <w:tmpl w:val="FFFFFFFF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717B4713"/>
    <w:multiLevelType w:val="hybridMultilevel"/>
    <w:tmpl w:val="FFFFFFFF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9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39C"/>
    <w:rsid w:val="0009339C"/>
    <w:rsid w:val="00974F19"/>
    <w:rsid w:val="00DE495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26377E5-8FFC-934E-A9B7-7FC0137D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jose.amalan732@gmail.com" TargetMode="External" /><Relationship Id="rId5" Type="http://schemas.openxmlformats.org/officeDocument/2006/relationships/hyperlink" Target="https://www.linkedin.com/in/joseph-james-amalan-soosairaj-ab24aa32" TargetMode="External" /><Relationship Id="rId6" Type="http://schemas.openxmlformats.org/officeDocument/2006/relationships/image" Target="https://rdxfootmark.naukri.com/v2/track/openCv?trackingInfo=8dd2cdeda111aa76d4d5c8207202e318134f4b0419514c4847440321091b5b58160d19071345594f1543124a4b485d4637071f1b5b581b5b150b141051540d004a41084704454559545b074b125a420612105e090d034b10081105035d4a0e560c0a4257587a4553524f0f5448120e1007035d4a07560329465c4a5653380c4f03434c1b0e170b19425d4f1543094a5d030903495e5c0e574b130e1301030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joseph amalan</cp:lastModifiedBy>
  <cp:revision>2</cp:revision>
  <dcterms:created xsi:type="dcterms:W3CDTF">2026-03-29T04:38:00Z</dcterms:created>
  <dcterms:modified xsi:type="dcterms:W3CDTF">2026-05-11T13:01:00Z</dcterms:modified>
</cp:coreProperties>
</file>