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6"/>
          <w:szCs w:val="26"/>
        </w:rPr>
        <w:t xml:space="preserve">MINUTES OF MEETING (MoM)</w:t>
      </w:r>
    </w:p>
    <w:p>
      <w:pPr>
        <w:spacing w:after="120"/>
      </w:pPr>
      <w:r>
        <w:rPr>
          <w:b/>
          <w:bCs/>
          <w:sz w:val="22"/>
          <w:szCs w:val="22"/>
        </w:rPr>
        <w:t xml:space="preserve">Project Title: </w:t>
      </w:r>
      <w:r>
        <w:rPr>
          <w:sz w:val="22"/>
          <w:szCs w:val="22"/>
        </w:rPr>
        <w:t xml:space="preserve">Design Thinking for the Impact of Quick Commerce on Local Kirana Shops</w:t>
      </w:r>
    </w:p>
    <w:p>
      <w:pPr>
        <w:spacing w:after="120"/>
      </w:pPr>
      <w:r>
        <w:rPr>
          <w:b/>
          <w:bCs/>
          <w:sz w:val="22"/>
          <w:szCs w:val="22"/>
        </w:rPr>
        <w:t xml:space="preserve">Phase: </w:t>
      </w:r>
      <w:r>
        <w:rPr>
          <w:sz w:val="22"/>
          <w:szCs w:val="22"/>
        </w:rPr>
        <w:t xml:space="preserve">Empathy Phase – STP Analysis (Segmentation, Targeting, Positioning)</w:t>
      </w:r>
    </w:p>
    <w:p>
      <w:pPr>
        <w:spacing w:after="120"/>
      </w:pPr>
      <w:r>
        <w:rPr>
          <w:b/>
          <w:bCs/>
          <w:sz w:val="22"/>
          <w:szCs w:val="22"/>
        </w:rPr>
        <w:t xml:space="preserve">Minutes of Meeting: </w:t>
      </w:r>
      <w:r>
        <w:rPr>
          <w:sz w:val="22"/>
          <w:szCs w:val="22"/>
        </w:rPr>
        <w:t xml:space="preserve">10:57 min</w:t>
      </w:r>
    </w:p>
    <w:p>
      <w:pPr>
        <w:spacing w:after="200" w:before="100"/>
      </w:pPr>
      <w:r>
        <w:rPr>
          <w:b/>
          <w:bCs/>
          <w:sz w:val="24"/>
          <w:szCs w:val="24"/>
        </w:rPr>
        <w:t xml:space="preserve">Meeting Proceedings</w:t>
      </w:r>
    </w:p>
    <w:p>
      <w:pPr>
        <w:spacing w:after="100" w:before="200"/>
      </w:pPr>
      <w:r>
        <w:rPr>
          <w:b/>
          <w:bCs/>
          <w:sz w:val="22"/>
          <w:szCs w:val="22"/>
        </w:rPr>
        <w:t xml:space="preserve">00:00 – 01:06 | Grid Setup</w:t>
      </w:r>
    </w:p>
    <w:p>
      <w:pPr>
        <w:spacing w:after="100"/>
      </w:pPr>
      <w:r>
        <w:rPr>
          <w:sz w:val="22"/>
          <w:szCs w:val="22"/>
        </w:rPr>
        <w:t xml:space="preserve">Sinchana drew a large 2x2 grid on A2 chart paper ahead of the segmentation work, titled 'STP - Quick Commerce vs Local Kirana.' The horizontal axis ran Age, with Young (18-25) on the left and Older (26+) on the right; the vertical axis ran primary shopping channel, with App-leaning on top and Local-leaning on the bottom. A dotted vertical line was drawn at the horizontal midpoint to hold the hybrid segment, and the four cells were labelled A (top-left), D (top-right), B (bottom-left), and C (bottom-right), with E reserved for the centre line.</w:t>
      </w:r>
    </w:p>
    <w:p>
      <w:pPr>
        <w:spacing w:after="160"/>
      </w:pPr>
      <w:r>
        <w:rPr>
          <w:b/>
          <w:bCs/>
          <w:i/>
          <w:iCs/>
          <w:sz w:val="22"/>
          <w:szCs w:val="22"/>
        </w:rPr>
        <w:t xml:space="preserve">Key Insight: </w:t>
      </w:r>
      <w:r>
        <w:rPr>
          <w:i/>
          <w:iCs/>
          <w:sz w:val="22"/>
          <w:szCs w:val="22"/>
        </w:rPr>
        <w:t xml:space="preserve">Reserving a dotted centre line for Segment E before any data was placed meant the hybrid segment was built into the grid's structure rather than squeezed in afterward.</w:t>
      </w:r>
    </w:p>
    <w:p>
      <w:pPr>
        <w:spacing w:after="100" w:before="200"/>
      </w:pPr>
      <w:r>
        <w:rPr>
          <w:b/>
          <w:bCs/>
          <w:sz w:val="22"/>
          <w:szCs w:val="22"/>
        </w:rPr>
        <w:t xml:space="preserve">01:06 – 01:50 | Choosing Segmentation Variables</w:t>
      </w:r>
    </w:p>
    <w:p>
      <w:pPr>
        <w:spacing w:after="100"/>
      </w:pPr>
      <w:r>
        <w:rPr>
          <w:sz w:val="22"/>
          <w:szCs w:val="22"/>
        </w:rPr>
        <w:t xml:space="preserve">Sinchana explained the choice of Age by Channel to the team: age predicts digital comfort, and channel predicts current loyalty. The team considered and rejected income by frequency as an alternative pairing, since income was never captured in the survey and frequency overlaps too heavily with channel preference to add anything new.</w:t>
      </w:r>
    </w:p>
    <w:p>
      <w:pPr>
        <w:spacing w:after="160"/>
      </w:pPr>
      <w:r>
        <w:rPr>
          <w:b/>
          <w:bCs/>
          <w:i/>
          <w:iCs/>
          <w:sz w:val="22"/>
          <w:szCs w:val="22"/>
        </w:rPr>
        <w:t xml:space="preserve">Key Insight: </w:t>
      </w:r>
      <w:r>
        <w:rPr>
          <w:i/>
          <w:iCs/>
          <w:sz w:val="22"/>
          <w:szCs w:val="22"/>
        </w:rPr>
        <w:t xml:space="preserve">The variable pair was chosen because the survey could directly measure both axes, not because it was the most interesting framework available.</w:t>
      </w:r>
    </w:p>
    <w:p>
      <w:pPr>
        <w:spacing w:after="100" w:before="200"/>
      </w:pPr>
      <w:r>
        <w:rPr>
          <w:b/>
          <w:bCs/>
          <w:sz w:val="22"/>
          <w:szCs w:val="22"/>
        </w:rPr>
        <w:t xml:space="preserve">01:50 – 04:45 | Populating the Five Segments</w:t>
      </w:r>
    </w:p>
    <w:p>
      <w:pPr>
        <w:spacing w:after="100"/>
      </w:pPr>
      <w:r>
        <w:rPr>
          <w:sz w:val="22"/>
          <w:szCs w:val="22"/>
        </w:rPr>
        <w:t xml:space="preserve">Each member filled in the cells they owned. Sirisha placed Segment B - Young Local-Loyals (~12%), citing Survey Q5 (25.3% trust/familiarity, 31.6% immediate purchase) and the quote 'Uncle knows what we need before I even ask,' framing them as a litmus test for inclusivity rather than a target. She also placed Segment C - Older Local-Loyals (~7%), flagging that the sample's 76.8% skew toward 18-25 respondents meant this segment is undercounted and proportionally larger in the real population, with credit and trust dominating their Q5 signals. Sindhu placed Segment A - Young App-Natives (~25%), anchored in Q4 (30.5% faster delivery), Q7 (58.9% busy schedule), and Q6 (51.6% shifted to apps in 2-3 years), and Segment D - Older App-Adopters (~6%), described as conditional defectors triggered mainly by late-night needs (Q7, 49.5%) and larger orders (22.1%). Sindhu then placed Segment E - Young Hybrid Shoppers (~50%) along the centre line, the largest segment in the survey, anchored in Q2 (46.3% Mix of all) and the headline Q9 figure of 93.7% openness to local delivery, alongside the real Q10 quote about wanting certainty that a shop will be open rather than faster delivery.</w:t>
      </w:r>
    </w:p>
    <w:p>
      <w:pPr>
        <w:spacing w:after="160"/>
      </w:pPr>
      <w:r>
        <w:rPr>
          <w:b/>
          <w:bCs/>
          <w:i/>
          <w:iCs/>
          <w:sz w:val="22"/>
          <w:szCs w:val="22"/>
        </w:rPr>
        <w:t xml:space="preserve">Key Insight: </w:t>
      </w:r>
      <w:r>
        <w:rPr>
          <w:i/>
          <w:iCs/>
          <w:sz w:val="22"/>
          <w:szCs w:val="22"/>
        </w:rPr>
        <w:t xml:space="preserve">Segment E was placed not as a residual or leftover category but as the largest single segment in the dataset, which is what justified circling it as the team's likely target before scoring even began.</w:t>
      </w:r>
    </w:p>
    <w:p>
      <w:pPr>
        <w:spacing w:after="100" w:before="200"/>
      </w:pPr>
      <w:r>
        <w:rPr>
          <w:b/>
          <w:bCs/>
          <w:sz w:val="22"/>
          <w:szCs w:val="22"/>
        </w:rPr>
        <w:t xml:space="preserve">04:45 – 06:35 | Scoring Matrix Discussion</w:t>
      </w:r>
    </w:p>
    <w:p>
      <w:pPr>
        <w:spacing w:after="100"/>
      </w:pPr>
      <w:r>
        <w:rPr>
          <w:sz w:val="22"/>
          <w:szCs w:val="22"/>
        </w:rPr>
        <w:t xml:space="preserve">Sindhu drew the scoring table below the grid while Sinchana led the discussion, asking the three scoring questions - size, accessibility, and willingness - for each segment in turn and demanding the survey evidence behind every number before it was written down. The team scored Segment A at 4/2/2 (total 8), Segments B and C both at 2/5/5 (total 12 each, reflecting loyalty already secured rather than growth potential), Segment D at 1/4/4 (total 9), and Segment E at 5/4/4 (total 13, the highest score on the board). Sinchana raised the tie-breaker explicitly: B and C score 12 against E's 13, and the team agreed the strategic difference is that B and C are preservation segments while E is a growth segment. The E row was highlighted in yellow once scoring was complete.</w:t>
      </w:r>
    </w:p>
    <w:p>
      <w:pPr>
        <w:spacing w:after="160"/>
      </w:pPr>
      <w:r>
        <w:rPr>
          <w:b/>
          <w:bCs/>
          <w:i/>
          <w:iCs/>
          <w:sz w:val="22"/>
          <w:szCs w:val="22"/>
        </w:rPr>
        <w:t xml:space="preserve">Key Insight: </w:t>
      </w:r>
      <w:r>
        <w:rPr>
          <w:i/>
          <w:iCs/>
          <w:sz w:val="22"/>
          <w:szCs w:val="22"/>
        </w:rPr>
        <w:t xml:space="preserve">The scoring matrix exposed that high loyalty scores (B and C) and high opportunity scores (E) look similar numerically but mean opposite things strategically - one signals protect, the other signals pursue.</w:t>
      </w:r>
    </w:p>
    <w:p>
      <w:pPr>
        <w:spacing w:after="100" w:before="200"/>
      </w:pPr>
      <w:r>
        <w:rPr>
          <w:b/>
          <w:bCs/>
          <w:sz w:val="22"/>
          <w:szCs w:val="22"/>
        </w:rPr>
        <w:t xml:space="preserve">06:35 – 08:25 | Targeting Justification</w:t>
      </w:r>
    </w:p>
    <w:p>
      <w:pPr>
        <w:spacing w:after="100"/>
      </w:pPr>
      <w:r>
        <w:rPr>
          <w:sz w:val="22"/>
          <w:szCs w:val="22"/>
        </w:rPr>
        <w:t xml:space="preserve">Sindhu read the targeting paragraph aloud and the team refined the wording before it was written on the chart paper: Segment E, Young Hybrid Shoppers, was confirmed as the target for three reasons - it is the largest single segment (~50%), the most persuadable (93.7% openness per Q9), and the segment whose habits will determine the kirana ecosystem's long-term customer base. The team explicitly named what was being given up: Segments B and C would be preserved rather than targeted, since designing for already-loyal customers creates no new value, and Segments A and D were deprioritised - A because their app habits are already locked in, D because their size is too small to anchor a design.</w:t>
      </w:r>
    </w:p>
    <w:p>
      <w:pPr>
        <w:spacing w:after="160"/>
      </w:pPr>
      <w:r>
        <w:rPr>
          <w:b/>
          <w:bCs/>
          <w:i/>
          <w:iCs/>
          <w:sz w:val="22"/>
          <w:szCs w:val="22"/>
        </w:rPr>
        <w:t xml:space="preserve">Key Insight: </w:t>
      </w:r>
      <w:r>
        <w:rPr>
          <w:i/>
          <w:iCs/>
          <w:sz w:val="22"/>
          <w:szCs w:val="22"/>
        </w:rPr>
        <w:t xml:space="preserve">Naming Segments B, C, A, and D as deliberately not-targeted - rather than simply omitting them - is what made the choice of Segment E a strategic decision instead of a default.</w:t>
      </w:r>
    </w:p>
    <w:p>
      <w:pPr>
        <w:spacing w:after="100" w:before="200"/>
      </w:pPr>
      <w:r>
        <w:rPr>
          <w:b/>
          <w:bCs/>
          <w:sz w:val="22"/>
          <w:szCs w:val="22"/>
        </w:rPr>
        <w:t xml:space="preserve">08:25 – 10:57 | Positioning Statement and Closing Insight</w:t>
      </w:r>
    </w:p>
    <w:p>
      <w:pPr>
        <w:spacing w:after="100"/>
      </w:pPr>
      <w:r>
        <w:rPr>
          <w:sz w:val="22"/>
          <w:szCs w:val="22"/>
        </w:rPr>
        <w:t xml:space="preserve">Sinchana led the team through the positioning template clause by clause - who the target is, what they want, what the solution provides, and what it replaces - drafting live and refining one word at a time until the team agreed on: 'For young hybrid shoppers (18-25) who want the convenience of quick-commerce without losing the trust, credit, and proximity of their neighbourhood kirana, our solution provides a paper-based door-to-door ordering system from a cluster of nearby local shops - unlike quick-commerce apps, which require constant phone use, exclude older household members, and erode the local economy.' The team then spent five minutes discussing what the grid revealed beyond the raw survey numbers, why Segment A was not worth chasing despite its size, and how each clause of the positioning statement constrains the eventual prototype. Sirisha, Sindhu, and Sinchana then co-drafted the closing insight: the real opportunity is not to convert the fully app-committed customer or serve the already-loyal one, but to design for the 50% still deciding daily, whose willingness to return (93.7%) already exists and only needs a mechanism to act on.</w:t>
      </w:r>
    </w:p>
    <w:p>
      <w:pPr>
        <w:spacing w:after="160"/>
      </w:pPr>
      <w:r>
        <w:rPr>
          <w:b/>
          <w:bCs/>
          <w:i/>
          <w:iCs/>
          <w:sz w:val="22"/>
          <w:szCs w:val="22"/>
        </w:rPr>
        <w:t xml:space="preserve">Key Insight: </w:t>
      </w:r>
      <w:r>
        <w:rPr>
          <w:i/>
          <w:iCs/>
          <w:sz w:val="22"/>
          <w:szCs w:val="22"/>
        </w:rPr>
        <w:t xml:space="preserve">The positioning statement's constraint against mandatory smartphone use was traced directly back to Segment C's exclusion risk, showing the segmentation work was already shaping prototype constraints before any concept was sketched.</w:t>
      </w:r>
    </w:p>
    <w:p>
      <w:pPr>
        <w:spacing w:after="160" w:before="240"/>
      </w:pPr>
      <w:r>
        <w:rPr>
          <w:b/>
          <w:bCs/>
          <w:sz w:val="24"/>
          <w:szCs w:val="24"/>
        </w:rPr>
        <w:t xml:space="preserve">Outcome of the Meeting</w:t>
      </w:r>
    </w:p>
    <w:p>
      <w:pPr>
        <w:spacing w:after="120"/>
      </w:pPr>
      <w:r>
        <w:rPr>
          <w:sz w:val="22"/>
          <w:szCs w:val="22"/>
        </w:rPr>
        <w:t xml:space="preserve">Key themes identified were:</w:t>
      </w:r>
    </w:p>
    <w:p>
      <w:pPr>
        <w:spacing w:after="80"/>
      </w:pPr>
      <w:r>
        <w:rPr>
          <w:sz w:val="22"/>
          <w:szCs w:val="22"/>
        </w:rPr>
        <w:t xml:space="preserve">- The customer market is not binary (app vs local) - the largest single group is a hybrid segment that has not committed to either side.</w:t>
      </w:r>
    </w:p>
    <w:p>
      <w:pPr>
        <w:spacing w:after="80"/>
      </w:pPr>
      <w:r>
        <w:rPr>
          <w:sz w:val="22"/>
          <w:szCs w:val="22"/>
        </w:rPr>
        <w:t xml:space="preserve">- Segment E, Young Hybrid Shoppers (~50%), was confirmed as the target: largest in size, most persuadable (93.7% per Q9), and most strategically important for the kirana ecosystem's future.</w:t>
      </w:r>
    </w:p>
    <w:p>
      <w:pPr>
        <w:spacing w:after="80"/>
      </w:pPr>
      <w:r>
        <w:rPr>
          <w:sz w:val="22"/>
          <w:szCs w:val="22"/>
        </w:rPr>
        <w:t xml:space="preserve">- Segments B and C (existing local loyalists) are to be preserved, not targeted - any solution must not introduce mandatory digital steps that would exclude them.</w:t>
      </w:r>
    </w:p>
    <w:p>
      <w:pPr>
        <w:spacing w:after="80"/>
      </w:pPr>
      <w:r>
        <w:rPr>
          <w:sz w:val="22"/>
          <w:szCs w:val="22"/>
        </w:rPr>
        <w:t xml:space="preserve">- Segments A (Young App-Natives) and D (Older App-Adopters) are deprioritised for this design cycle - A due to locked-in app habits, D due to small size.</w:t>
      </w:r>
    </w:p>
    <w:p>
      <w:pPr>
        <w:spacing w:after="80"/>
      </w:pPr>
      <w:r>
        <w:rPr>
          <w:sz w:val="22"/>
          <w:szCs w:val="22"/>
        </w:rPr>
        <w:t xml:space="preserve">- The positioning statement commits the design to a paper-based, door-to-door, pooled-inventory model that explicitly avoids smartphone dependency.</w:t>
      </w:r>
    </w:p>
    <w:p>
      <w:pPr>
        <w:spacing w:before="160"/>
      </w:pPr>
      <w:r>
        <w:rPr>
          <w:b/>
          <w:bCs/>
          <w:sz w:val="22"/>
          <w:szCs w:val="22"/>
        </w:rPr>
        <w:t xml:space="preserve">Next Step: </w:t>
      </w:r>
      <w:r>
        <w:rPr>
          <w:sz w:val="22"/>
          <w:szCs w:val="22"/>
        </w:rPr>
        <w:t xml:space="preserve">Carry the confirmed target segment and positioning statement into the SWOT analysis to map the strategic landscape the kirana solution will need to operate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2026-06-27T11:56:36.178Z</dcterms:created>
  <dcterms:modified xsi:type="dcterms:W3CDTF">2026-06-27T11:56:36.178Z</dcterms:modified>
</cp:coreProperties>
</file>

<file path=docProps/custom.xml><?xml version="1.0" encoding="utf-8"?>
<Properties xmlns="http://schemas.openxmlformats.org/officeDocument/2006/custom-properties" xmlns:vt="http://schemas.openxmlformats.org/officeDocument/2006/docPropsVTypes"/>
</file>