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26"/>
          <w:szCs w:val="26"/>
        </w:rPr>
        <w:t xml:space="preserve">MINUTES OF MEETING (MoM)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Project Title: </w:t>
      </w:r>
      <w:r>
        <w:rPr>
          <w:sz w:val="22"/>
          <w:szCs w:val="22"/>
        </w:rPr>
        <w:t xml:space="preserve">Design Thinking for the Impact of Quick Commerce on Local Shops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Phase: </w:t>
      </w:r>
      <w:r>
        <w:rPr>
          <w:sz w:val="22"/>
          <w:szCs w:val="22"/>
        </w:rPr>
        <w:t xml:space="preserve">Empathy Phase – SWOT Analysis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Minutes of Meeting: </w:t>
      </w:r>
      <w:r>
        <w:rPr>
          <w:sz w:val="22"/>
          <w:szCs w:val="22"/>
        </w:rPr>
        <w:t xml:space="preserve">14:14 min</w:t>
      </w:r>
    </w:p>
    <w:p>
      <w:pPr>
        <w:spacing w:after="200" w:before="100"/>
      </w:pPr>
      <w:r>
        <w:rPr>
          <w:b/>
          <w:bCs/>
          <w:sz w:val="24"/>
          <w:szCs w:val="24"/>
        </w:rPr>
        <w:t xml:space="preserve">Meeting Proceedings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00:00 – 00:50 | Introduction</w:t>
      </w:r>
    </w:p>
    <w:p>
      <w:pPr>
        <w:spacing w:after="100"/>
      </w:pPr>
      <w:r>
        <w:rPr>
          <w:sz w:val="22"/>
          <w:szCs w:val="22"/>
        </w:rPr>
        <w:t xml:space="preserve">Sirisha opened the session as facilitator and matrix owner, drawing a four-quadrant SWOT matrix on A2 chart paper and setting a timer for the round-robin. The team agreed on the internal-versus-external test for placing each sticky: if the shopkeeper can directly change something, it belongs in Strengths or Weaknesses; if it is happening to them from the outside, it belongs in Opportunities or Threats. Each of the three members had pre-written 8 stickies across the four quadrants, grounded in the Phase 1 survey, field interviews, and root cause analysis.</w:t>
      </w:r>
    </w:p>
    <w:p>
      <w:pPr>
        <w:spacing w:after="160"/>
      </w:pPr>
      <w:r>
        <w:rPr>
          <w:b/>
          <w:bCs/>
          <w:i/>
          <w:iCs/>
          <w:sz w:val="22"/>
          <w:szCs w:val="22"/>
        </w:rPr>
        <w:t xml:space="preserve">Key Insight: </w:t>
      </w:r>
      <w:r>
        <w:rPr>
          <w:i/>
          <w:iCs/>
          <w:sz w:val="22"/>
          <w:szCs w:val="22"/>
        </w:rPr>
        <w:t xml:space="preserve">Agreeing on the internal-versus-external test up front prevented disputes later about where a sticky belonged.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00:50 – 01:40 | Method and Roles Discussion</w:t>
      </w:r>
    </w:p>
    <w:p>
      <w:pPr>
        <w:spacing w:after="100"/>
      </w:pPr>
      <w:r>
        <w:rPr>
          <w:sz w:val="22"/>
          <w:szCs w:val="22"/>
        </w:rPr>
        <w:t xml:space="preserve">The team confirmed roles for the session: Sindhu as data anchor, grounding every sticky in survey numbers; Sinchana as devil's advocate and scribe, challenging weak placements and later writing the strategic combinations; and Sirisha as facilitator, running the matrix and the timer. Each member would place 8 stickies in total, 2 per quadrant, for 24 stickies overall, and would speak to their discussion points aloud while placing each one rather than placing silently.</w:t>
      </w:r>
    </w:p>
    <w:p>
      <w:pPr>
        <w:spacing w:after="160"/>
      </w:pPr>
      <w:r>
        <w:rPr>
          <w:b/>
          <w:bCs/>
          <w:i/>
          <w:iCs/>
          <w:sz w:val="22"/>
          <w:szCs w:val="22"/>
        </w:rPr>
        <w:t xml:space="preserve">Key Insight: </w:t>
      </w:r>
      <w:r>
        <w:rPr>
          <w:i/>
          <w:iCs/>
          <w:sz w:val="22"/>
          <w:szCs w:val="22"/>
        </w:rPr>
        <w:t xml:space="preserve">Splitting the devil's-advocate and scribe duties into one role meant placements were challenged in real time rather than left unchallenged until the audit.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01:40 – 04:17 | Strengths Round-Robin Discussion</w:t>
      </w:r>
    </w:p>
    <w:p>
      <w:pPr>
        <w:spacing w:after="100"/>
      </w:pPr>
      <w:r>
        <w:rPr>
          <w:sz w:val="22"/>
          <w:szCs w:val="22"/>
        </w:rPr>
        <w:t xml:space="preserve">The team placed six green stickies in the Strengths quadrant. Sirisha placed personal trust and long-term relationships (Survey Q5, 25.3%) and credit/khata flexibility, noting that apps demand upfront digital payment while kiranas extend informal credit to regulars. Sindhu placed physical proximity (Survey Q5, 28.4%) and immediate purchase capability (Survey Q5, 31.6%, the single largest reason customers stay loyal), pointing out that even ten-minute delivery still has a ten-minute wait. Sinchana placed deep neighbourhood knowledge, drawn from field observation across all ten shopkeeper interviews, and no platform commission, noting that quick-commerce sellers lose 15–25% to their platform while kiranas lose nothing.</w:t>
      </w:r>
    </w:p>
    <w:p>
      <w:pPr>
        <w:spacing w:after="160"/>
      </w:pPr>
      <w:r>
        <w:rPr>
          <w:b/>
          <w:bCs/>
          <w:i/>
          <w:iCs/>
          <w:sz w:val="22"/>
          <w:szCs w:val="22"/>
        </w:rPr>
        <w:t xml:space="preserve">Key Insight: </w:t>
      </w:r>
      <w:r>
        <w:rPr>
          <w:i/>
          <w:iCs/>
          <w:sz w:val="22"/>
          <w:szCs w:val="22"/>
        </w:rPr>
        <w:t xml:space="preserve">The two highest-cited Strengths in the survey - proximity and immediate purchase - both speak to speed, suggesting kiranas should compete on instant access rather than on price or range.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04:17 – 06:54 | Weaknesses Round-Robin Discussion</w:t>
      </w:r>
    </w:p>
    <w:p>
      <w:pPr>
        <w:spacing w:after="100"/>
      </w:pPr>
      <w:r>
        <w:rPr>
          <w:sz w:val="22"/>
          <w:szCs w:val="22"/>
        </w:rPr>
        <w:t xml:space="preserve">The team placed six red stickies in the Weaknesses quadrant. Sirisha placed inability to match app-level pricing, citing Interview #4 with Ramesh, and the absence of any organised loyalty programme (Survey Q4, 15.8% drawn to apps by discounts). Sindhu placed no home delivery infrastructure (Survey Q8, 23.2% cite this as their top frustration) and limited product and brand variety (Survey Q8, 27.4%, the single biggest frustration in the entire survey), explaining that a customer who switches to an app for one missing brand tends to order everything else there too. Sinchana placed unpredictable opening hours (Survey Q8, 24.2%, reinforced by open-response feedback on shop hours) and low digital readiness, which the Phase 1 root cause analysis had surfaced as the deepest internal barrier - a problem of unfamiliarity rather than unwillingness.</w:t>
      </w:r>
    </w:p>
    <w:p>
      <w:pPr>
        <w:spacing w:after="160"/>
      </w:pPr>
      <w:r>
        <w:rPr>
          <w:b/>
          <w:bCs/>
          <w:i/>
          <w:iCs/>
          <w:sz w:val="22"/>
          <w:szCs w:val="22"/>
        </w:rPr>
        <w:t xml:space="preserve">Key Insight: </w:t>
      </w:r>
      <w:r>
        <w:rPr>
          <w:i/>
          <w:iCs/>
          <w:sz w:val="22"/>
          <w:szCs w:val="22"/>
        </w:rPr>
        <w:t xml:space="preserve">Limited product variety scored as the single biggest frustration in the whole survey, marking it as the most urgent Weakness to address before any delivery fix.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06:54 – 09:31 | Opportunities Round-Robin Discussion</w:t>
      </w:r>
    </w:p>
    <w:p>
      <w:pPr>
        <w:spacing w:after="100"/>
      </w:pPr>
      <w:r>
        <w:rPr>
          <w:sz w:val="22"/>
          <w:szCs w:val="22"/>
        </w:rPr>
        <w:t xml:space="preserve">The team placed six blue stickies in the Opportunities quadrant. Sirisha placed the government's ONDC-led push for kirana digitisation and the potential for CSR and Resident Welfare Association partnerships built around the local-employment narrative. Sindhu placed the session's headline number - 93.7% of customers open to using local shops more if delivery and digital ordering existed (Survey Q9, 51.1% Yes plus 42.6% Maybe) - and the 46.3% of customers already mixing channels (Survey Q2), framing them as diluted rather than defected. Sinchana placed rising public concern about quick-commerce worker exploitation, flagged explicitly as an inferred soft signal rather than a measured survey result, and the Young Hybrid segment of 18-25 mix-of-all users (Survey Q1 and Q2), identified through the team's STP analysis as the largest and most winnable segment.</w:t>
      </w:r>
    </w:p>
    <w:p>
      <w:pPr>
        <w:spacing w:after="160"/>
      </w:pPr>
      <w:r>
        <w:rPr>
          <w:b/>
          <w:bCs/>
          <w:i/>
          <w:iCs/>
          <w:sz w:val="22"/>
          <w:szCs w:val="22"/>
        </w:rPr>
        <w:t xml:space="preserve">Key Insight: </w:t>
      </w:r>
      <w:r>
        <w:rPr>
          <w:i/>
          <w:iCs/>
          <w:sz w:val="22"/>
          <w:szCs w:val="22"/>
        </w:rPr>
        <w:t xml:space="preserve">The 93.7% openness figure was treated as the most important number in the entire survey: the demand for a delivery-enabled kirana already exists and does not need to be created, only served.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09:31 – 12:08 | Threats Round-Robin Discussion</w:t>
      </w:r>
    </w:p>
    <w:p>
      <w:pPr>
        <w:spacing w:after="100"/>
      </w:pPr>
      <w:r>
        <w:rPr>
          <w:sz w:val="22"/>
          <w:szCs w:val="22"/>
        </w:rPr>
        <w:t xml:space="preserve">The team placed six yellow stickies in the Threats quadrant. Sinchana placed the aggressive expansion of quick-commerce platforms into every urban locality, with dark stores appearing within 500 metres of established kirana clusters, and the risk of losing the 18-25 demographic (Survey Q1, 76.8% of the sample), flagged as directionally true for the sample rather than the general population. Sirisha placed rising real-estate and operating costs, noting that quick-commerce can absorb losses through investor funding while kiranas cannot, and the loss of the late-night use case (Survey Q7, 49.5%), a context kiranas once owned outright. Sindhu placed the 51.6% of customers who say they now use apps more than they did 2-3 years ago (Survey Q6), describing it as an accelerating wave rather than a static threat, and the 58.9% who prefer apps specifically in busy-schedule situations (Survey Q7) - the single most common urban context.</w:t>
      </w:r>
    </w:p>
    <w:p>
      <w:pPr>
        <w:spacing w:after="160"/>
      </w:pPr>
      <w:r>
        <w:rPr>
          <w:b/>
          <w:bCs/>
          <w:i/>
          <w:iCs/>
          <w:sz w:val="22"/>
          <w:szCs w:val="22"/>
        </w:rPr>
        <w:t xml:space="preserve">Key Insight: </w:t>
      </w:r>
      <w:r>
        <w:rPr>
          <w:i/>
          <w:iCs/>
          <w:sz w:val="22"/>
          <w:szCs w:val="22"/>
        </w:rPr>
        <w:t xml:space="preserve">Apps were shown to be winning the most frequent everyday context (busy schedules) rather than only rare occasions, meaning the competitive pressure is constant rather than occasional.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12:08 – 13:05 | Strategic Combinations (S+O and W+T) Discussion</w:t>
      </w:r>
    </w:p>
    <w:p>
      <w:pPr>
        <w:spacing w:after="100"/>
      </w:pPr>
      <w:r>
        <w:rPr>
          <w:sz w:val="22"/>
          <w:szCs w:val="22"/>
        </w:rPr>
        <w:t xml:space="preserve">With all 24 stickies placed, Sinchana took up the marker pens to write the strategic combinations on the chart paper. Sindhu anchored the S+O combination in data, linking the trust, khata credit, and proximity Strengths to the 93.7% openness figure and the winnable mix-of-all-channels segment - arguing that the willingness to switch back already exists and only needs an operational bridge. For the W+T combination, the team linked the absence of delivery infrastructure, limited variety, and low digital readiness directly to the accelerating shift to apps and their dominance of the busy-schedule and late-night contexts, noting that each Weakness was making the corresponding Threat worse rather than the two sitting independently.</w:t>
      </w:r>
    </w:p>
    <w:p>
      <w:pPr>
        <w:spacing w:after="160"/>
      </w:pPr>
      <w:r>
        <w:rPr>
          <w:b/>
          <w:bCs/>
          <w:i/>
          <w:iCs/>
          <w:sz w:val="22"/>
          <w:szCs w:val="22"/>
        </w:rPr>
        <w:t xml:space="preserve">Key Insight: </w:t>
      </w:r>
      <w:r>
        <w:rPr>
          <w:i/>
          <w:iCs/>
          <w:sz w:val="22"/>
          <w:szCs w:val="22"/>
        </w:rPr>
        <w:t xml:space="preserve">The W+T combination showed the Weaknesses were not passive gaps but active accelerants of the Threats - unresolved internal gaps were what let external pressure compound.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13:05 – 14:14 | Closing Insight and Conclusion</w:t>
      </w:r>
    </w:p>
    <w:p>
      <w:pPr>
        <w:spacing w:after="100"/>
      </w:pPr>
      <w:r>
        <w:rPr>
          <w:sz w:val="22"/>
          <w:szCs w:val="22"/>
        </w:rPr>
        <w:t xml:space="preserve">The team co-drafted a single closing-insight sentence to anchor the chart paper, with each member contributing language before settling on the final wording: local shops are not losing on trust, proximity, or relationship - they are losing on the operational layer of delivery, variety, and digital access, and closing that single layer would convert most of an already-willing customer base. The team agreed the SWOT session had converted the survey, interviews, and root cause analysis into a single visual matrix, and that the next step would be to carry the S+O and W+T combinations forward into concept generation, with the delivery-and-digital-ordering gap as the primary design target.</w:t>
      </w:r>
    </w:p>
    <w:p>
      <w:pPr>
        <w:spacing w:after="160"/>
      </w:pPr>
      <w:r>
        <w:rPr>
          <w:b/>
          <w:bCs/>
          <w:i/>
          <w:iCs/>
          <w:sz w:val="22"/>
          <w:szCs w:val="22"/>
        </w:rPr>
        <w:t xml:space="preserve">Key Insight: </w:t>
      </w:r>
      <w:r>
        <w:rPr>
          <w:i/>
          <w:iCs/>
          <w:sz w:val="22"/>
          <w:szCs w:val="22"/>
        </w:rPr>
        <w:t xml:space="preserve">The closing insight reframed the entire competitive problem as operational rather than relational - trust was never the issue, fulfilment was.</w:t>
      </w:r>
    </w:p>
    <w:p>
      <w:pPr>
        <w:spacing w:after="160" w:before="240"/>
      </w:pPr>
      <w:r>
        <w:rPr>
          <w:b/>
          <w:bCs/>
          <w:sz w:val="24"/>
          <w:szCs w:val="24"/>
        </w:rPr>
        <w:t xml:space="preserve">Outcome of the Meeting</w:t>
      </w:r>
    </w:p>
    <w:p>
      <w:pPr>
        <w:spacing w:after="120"/>
      </w:pPr>
      <w:r>
        <w:rPr>
          <w:sz w:val="22"/>
          <w:szCs w:val="22"/>
        </w:rPr>
        <w:t xml:space="preserve">Key themes identified were:</w:t>
      </w:r>
    </w:p>
    <w:p>
      <w:pPr>
        <w:spacing w:after="80"/>
      </w:pPr>
      <w:r>
        <w:rPr>
          <w:sz w:val="22"/>
          <w:szCs w:val="22"/>
        </w:rPr>
        <w:t xml:space="preserve">- Customers value local shops for proximity, immediate purchase, personal trust, and informal credit, but these strengths are not enough to offset the absence of delivery and digital ordering.</w:t>
      </w:r>
    </w:p>
    <w:p>
      <w:pPr>
        <w:spacing w:after="80"/>
      </w:pPr>
      <w:r>
        <w:rPr>
          <w:sz w:val="22"/>
          <w:szCs w:val="22"/>
        </w:rPr>
        <w:t xml:space="preserve">- The single biggest frustration across the survey was limited product and brand variety, ahead of any pricing or delivery complaint.</w:t>
      </w:r>
    </w:p>
    <w:p>
      <w:pPr>
        <w:spacing w:after="80"/>
      </w:pPr>
      <w:r>
        <w:rPr>
          <w:sz w:val="22"/>
          <w:szCs w:val="22"/>
        </w:rPr>
        <w:t xml:space="preserve">- 93.7% of customers are open to using local shops more if delivery and digital ordering existed - the largest and most decisive number in the entire survey.</w:t>
      </w:r>
    </w:p>
    <w:p>
      <w:pPr>
        <w:spacing w:after="80"/>
      </w:pPr>
      <w:r>
        <w:rPr>
          <w:sz w:val="22"/>
          <w:szCs w:val="22"/>
        </w:rPr>
        <w:t xml:space="preserve">- Weaknesses such as no delivery infrastructure and low digital readiness are actively compounding the Threats posed by quick-commerce expansion and the accelerating shift to apps.</w:t>
      </w:r>
    </w:p>
    <w:p>
      <w:pPr>
        <w:spacing w:after="80"/>
      </w:pPr>
      <w:r>
        <w:rPr>
          <w:sz w:val="22"/>
          <w:szCs w:val="22"/>
        </w:rPr>
        <w:t xml:space="preserve">- The closing insight reframed the competitive gap as operational (delivery, variety, digital access) rather than relational (trust, proximity, credit).</w:t>
      </w:r>
    </w:p>
    <w:p>
      <w:pPr>
        <w:spacing w:before="160"/>
      </w:pPr>
      <w:r>
        <w:rPr>
          <w:b/>
          <w:bCs/>
          <w:sz w:val="22"/>
          <w:szCs w:val="22"/>
        </w:rPr>
        <w:t xml:space="preserve">Next Step: </w:t>
      </w:r>
      <w:r>
        <w:rPr>
          <w:sz w:val="22"/>
          <w:szCs w:val="22"/>
        </w:rPr>
        <w:t xml:space="preserve">Carry the S+O and W+T combinations forward into the convergence and concept-generation step, treating the delivery-and-digital-ordering gap identified in the closing insight as the primary design target.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2026-06-27T11:56:35.881Z</dcterms:created>
  <dcterms:modified xsi:type="dcterms:W3CDTF">2026-06-27T11:56:35.896Z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