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A1F5E"/>
          <w:sz w:val="36"/>
          <w:szCs w:val="36"/>
        </w:rPr>
        <w:t xml:space="preserve">MINUTES OF MEETING (MoM)</w:t>
      </w:r>
    </w:p>
    <w:p>
      <w:pPr>
        <w:pBdr>
          <w:bottom w:val="single" w:color="5B3A7E" w:sz="6" w:space="1"/>
        </w:pBdr>
        <w:spacing w:after="200" w:before="0"/>
        <w:jc w:val="center"/>
      </w:pPr>
      <w:r>
        <w:rPr>
          <w:rFonts w:ascii="Arial" w:cs="Arial" w:eastAsia="Arial" w:hAnsi="Arial"/>
          <w:color w:val="5B3A7E"/>
          <w:sz w:val="24"/>
          <w:szCs w:val="24"/>
        </w:rPr>
        <w:t xml:space="preserve">Define Phase – Technique 3: Affinity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3A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Thinking – Quick Commerce vs Local Shops</w:t>
            </w:r>
          </w:p>
        </w:tc>
      </w:tr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3A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Phase – Affinity Mapping (Technique 3)</w:t>
            </w:r>
          </w:p>
        </w:tc>
      </w:tr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3A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6:56 minutes</w:t>
            </w:r>
          </w:p>
        </w:tc>
      </w:tr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3A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Sirisha (Division 1), Sindhu (Division 2), Sinchana (Division 3)</w:t>
            </w:r>
          </w:p>
        </w:tc>
      </w:tr>
    </w:tbl>
    <w:p>
      <w:pPr>
        <w:spacing w:after="0" w:before="200"/>
      </w:pPr>
    </w:p>
    <w:p>
      <w:pPr>
        <w:pBdr>
          <w:bottom w:val="single" w:color="5B3A7E" w:sz="4" w:space="1"/>
        </w:pBd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00:00 – 01:10 | Introduction to Affinity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team opened the Affinity Mapping session by establishing the purpose and method of the technique. Affinity Mapping was introduced as a bottom-up clustering exercise — each member converting their raw data observations and mind map findings into individual ‘sticky notes,’ each containing a source question reference, an observation, and a design implication.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team agreed on a shared structure: each sticky note would be attributed to a source question (Q1–Q10), carry a specific observation drawn from survey data, and end with a one-line design implication to make the insight actionable.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Structuring sticky notes with source + observation + implication ensured that each cluster would generate directly actionable design signals, not just thematic labels.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01:10 – 02:40 | Sirisha — Clusters A, B &amp; C: User Context Quadrant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Sirisha presented nine sticky notes grouped into three clusters forming the ‘User Context’ quadrant of the affinity map: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A (User Demographics): 76.8% aged 18–25 anchors all design decisions in a digitally-native audience. The sub-10% aged 36+ was flagged as a research gap.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B (Shopping Channel Behaviour): 46.3% using a mix of all channels confirmed that omnichannel is already the default lived reality for nearly half of respondents.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C (Behaviour Shift): 51.6% now use apps more than before, but 38.9% show no change — a stable segment that must not be alienated by digital-only solutions.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Sirisha’s Insight Statement:</w:t>
      </w:r>
    </w:p>
    <w:p>
      <w:pPr>
        <w:shd w:fill="F4EEF9" w:val="clear"/>
        <w:spacing w:after="80" w:before="80"/>
      </w:pPr>
      <w:r>
        <w:rPr>
          <w:rFonts w:ascii="Arial" w:cs="Arial" w:eastAsia="Arial" w:hAnsi="Arial"/>
          <w:i/>
          <w:iCs/>
          <w:color w:val="5B3A7E"/>
          <w:sz w:val="20"/>
          <w:szCs w:val="20"/>
        </w:rPr>
        <w:t xml:space="preserve">“Young urban shoppers (18–25) are already omnichannel by habit. They are not choosing between apps and local shops — they are choosing based on situation, price, and convenience in each moment. Any solution must fit into this fluid, context-driven shopping behaviour rather than forcing a single-channel commitment.”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affinity cluster revealed that ‘omnichannel’ is not a behaviour to be designed for — it is already the norm. Design must serve the switching logic, not try to capture exclusive loyalty.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02:40 – 04:10 | Sindhu — Clusters D, E &amp; F: App Pull Factors Quadrant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Sindhu presented twelve sticky notes grouped into three clusters forming the ‘App Pull Factors’ quadrant: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D (App Usage Frequency): The 35.8% occasional-user segment was identified as the highest conversion opportunity. Daily users (8.4%) were flagged as unlikely to shift without feature parity.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E (App Motivation Drivers): Speed (30.5%) and convenience (27.4%) together account for 58% of app choice motivations — confirming these as the two core value propositions local shops must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F (Situational Triggers): Time poverty (58.9%), discounts (49.5%), and late-night availability (48.4%) are the three dominant triggers that send users to apps. None of these is emotionally driven.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Sindhu’s Insight Statement:</w:t>
      </w:r>
    </w:p>
    <w:p>
      <w:pPr>
        <w:shd w:fill="F4EEF9" w:val="clear"/>
        <w:spacing w:after="80" w:before="80"/>
      </w:pPr>
      <w:r>
        <w:rPr>
          <w:rFonts w:ascii="Arial" w:cs="Arial" w:eastAsia="Arial" w:hAnsi="Arial"/>
          <w:i/>
          <w:iCs/>
          <w:color w:val="5B3A7E"/>
          <w:sz w:val="20"/>
          <w:szCs w:val="20"/>
        </w:rPr>
        <w:t xml:space="preserve">“Users do not love apps — they love what apps do for them: save time, reduce effort, and occasionally save money. Speed (30.5%) and convenience (27.4%) together drive 58% of app choice. This means a local shop that offers WhatsApp ordering and same-hour home delivery directly attacks the #1 and #2 reasons users choose apps — without requiring a tech platform investment.”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preference is functional and situational — not emotional. This means it is directly addressable through service design rather than technology investment.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04:10 – 05:50 | Sinchana — Clusters G, H &amp; I: Local Shop Reality Quadrant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Sinchana presented fourteen sticky notes grouped into three clusters forming the ‘Local Shop Reality’ quadrant — the heart of the problem statement: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G (Loyalty Drivers): Immediate purchase (31.6%), proximity (28.4%), and trust/familiarity (25.3%) are the three enduring strengths of local shops. These are structural, not imitable by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H (Pain Points): Timing/availability uncertainty (24.2%) and brand variety gaps (23.2%) are the two primary operational failures. Notably, 27.4% report no major issues, confirming local shops are not universally failing.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 I (Improvement Signals): 93.7% are open to WhatsApp + delivery. Open responses pointed to published opening hours, wider product variety, and hygiene improvements as the top asks.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Sinchana’s Insight Statement:</w:t>
      </w:r>
    </w:p>
    <w:p>
      <w:pPr>
        <w:shd w:fill="F4EEF9" w:val="clear"/>
        <w:spacing w:after="80" w:before="80"/>
      </w:pPr>
      <w:r>
        <w:rPr>
          <w:rFonts w:ascii="Arial" w:cs="Arial" w:eastAsia="Arial" w:hAnsi="Arial"/>
          <w:i/>
          <w:iCs/>
          <w:color w:val="5B3A7E"/>
          <w:sz w:val="20"/>
          <w:szCs w:val="20"/>
        </w:rPr>
        <w:t xml:space="preserve">“Local shops are trusted, proximate, and provide instant ownership of goods — three qualities that apps cannot fully replicate. But they lose users due to availability uncertainty, brand gaps, and zero digital access. With 93.7% of respondents open to WhatsApp ordering + home delivery, the gap between what local shops are and what users need them to be is bridgeable with minimal technology investment. This is the core problem worth solving.”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cluster revealed that availability uncertainty is a perception problem as much as an operational one. Published hours and WhatsApp status updates alone could resolve the top frustration without any back-end system change.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05:50 – 06:56 | Combined Problem Statement &amp; Session Close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team synthesised all three quadrants of the affinity map into a single ‘How Might We’ (HMW) problem statement, combining Sirisha’s user profile, Sindhu’s app pull factors, and Sinchana’s local shop reality: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EDE3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A1F5E"/>
                <w:sz w:val="22"/>
                <w:szCs w:val="22"/>
              </w:rPr>
              <w:t xml:space="preserve">How Might We…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3A1F5E"/>
                <w:sz w:val="20"/>
                <w:szCs w:val="20"/>
              </w:rPr>
              <w:t xml:space="preserve">…help local neighbourhood shops offer the speed and digital convenience of quick-commerce apps, while preserving the trust, proximity, and immediacy that already make them the first choice for 31.6% of urban young adults — so that the 93.7% of consumers open to WhatsApp ordering + home delivery can meet their daily needs through their local shopkeeper rather than switching to an app?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3A7E"/>
                <w:sz w:val="18"/>
                <w:szCs w:val="18"/>
              </w:rPr>
              <w:t xml:space="preserve">Sirisha (User Profile) + Sindhu (App Pull Factors) + Sinchana (Local Shop Reality)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team agreed that the affinity map had successfully converted nine clusters of raw observations into a single, validated, actionable problem statement ready to carry into the Ideate phase.</w:t>
      </w:r>
    </w:p>
    <w:p>
      <w:pPr>
        <w:pBdr>
          <w:bottom w:val="single" w:color="5B3A7E" w:sz="4" w:space="1"/>
        </w:pBd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3A7E"/>
          <w:sz w:val="24"/>
          <w:szCs w:val="24"/>
        </w:rPr>
        <w:t xml:space="preserve">Outcome of the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5B3A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Theme</w:t>
            </w:r>
          </w:p>
        </w:tc>
        <w:tc>
          <w:tcPr>
            <w:tcBorders>
              <w:top w:val="single" w:color="5B3A7E" w:sz="4"/>
              <w:left w:val="single" w:color="5B3A7E" w:sz="4"/>
              <w:bottom w:val="single" w:color="5B3A7E" w:sz="4"/>
              <w:right w:val="single" w:color="5B3A7E" w:sz="4"/>
            </w:tcBorders>
            <w:shd w:fill="5B3A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Context (Sirisha)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Omnichannel is already the norm; design must serve situational switching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Pull Factors (Sindhu)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preference is functional, not emotional — directly addressable through service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Shop Reality (Sinchana)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 + immediacy are unmatched strengths; availability gap is the primary failure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HMW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ordering + home delivery from local shops validated as the core problem-solution space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 Step: Carry the ‘How Might We’ problem statement into the Ideate Phase, using it as the design brief for brainstorming and concept generation.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A1F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2026-06-28T09:32:46.683Z</dcterms:created>
  <dcterms:modified xsi:type="dcterms:W3CDTF">2026-06-28T09:32:46.683Z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