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MINUTES OF MEETING (MoM)</w:t>
      </w:r>
    </w:p>
    <w:p>
      <w:pPr>
        <w:pBdr>
          <w:bottom w:val="single" w:color="2E4A7A" w:sz="6" w:space="1"/>
        </w:pBdr>
        <w:spacing w:after="200" w:before="0"/>
        <w:jc w:val="center"/>
      </w:pPr>
      <w:r>
        <w:rPr>
          <w:rFonts w:ascii="Arial" w:cs="Arial" w:eastAsia="Arial" w:hAnsi="Arial"/>
          <w:color w:val="2E4A7A"/>
          <w:sz w:val="24"/>
          <w:szCs w:val="24"/>
        </w:rPr>
        <w:t xml:space="preserve">Define Phase – Technique 1 &amp; 2: Data Analysis + Mind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2E4A7A" w:sz="4"/>
              <w:left w:val="single" w:color="2E4A7A" w:sz="4"/>
              <w:bottom w:val="single" w:color="2E4A7A" w:sz="4"/>
              <w:right w:val="single" w:color="2E4A7A" w:sz="4"/>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Project Title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Design Thinking – Quick Commerce vs Local Shops</w:t>
            </w:r>
          </w:p>
        </w:tc>
      </w:tr>
      <w:tr>
        <w:tc>
          <w:tcPr>
            <w:tcBorders>
              <w:top w:val="single" w:color="2E4A7A" w:sz="4"/>
              <w:left w:val="single" w:color="2E4A7A" w:sz="4"/>
              <w:bottom w:val="single" w:color="2E4A7A" w:sz="4"/>
              <w:right w:val="single" w:color="2E4A7A" w:sz="4"/>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Phase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Phase – Data Analysis (Technique 1) &amp; Mind Mapping (Technique 2)</w:t>
            </w:r>
          </w:p>
        </w:tc>
      </w:tr>
      <w:tr>
        <w:tc>
          <w:tcPr>
            <w:tcBorders>
              <w:top w:val="single" w:color="2E4A7A" w:sz="4"/>
              <w:left w:val="single" w:color="2E4A7A" w:sz="4"/>
              <w:bottom w:val="single" w:color="2E4A7A" w:sz="4"/>
              <w:right w:val="single" w:color="2E4A7A" w:sz="4"/>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12:46 minutes</w:t>
            </w:r>
          </w:p>
        </w:tc>
      </w:tr>
      <w:tr>
        <w:tc>
          <w:tcPr>
            <w:tcBorders>
              <w:top w:val="single" w:color="2E4A7A" w:sz="4"/>
              <w:left w:val="single" w:color="2E4A7A" w:sz="4"/>
              <w:bottom w:val="single" w:color="2E4A7A" w:sz="4"/>
              <w:right w:val="single" w:color="2E4A7A" w:sz="4"/>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Participants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Sirisha (Division 1), Sindhu (Division 2), Sinchana (Division 3)</w:t>
            </w:r>
          </w:p>
        </w:tc>
      </w:tr>
    </w:tbl>
    <w:p>
      <w:pPr>
        <w:spacing w:after="0" w:before="200"/>
      </w:pPr>
    </w:p>
    <w:p>
      <w:pPr>
        <w:pBdr>
          <w:bottom w:val="single" w:color="2E4A7A" w:sz="4" w:space="1"/>
        </w:pBdr>
        <w:spacing w:after="120" w:before="120"/>
      </w:pPr>
    </w:p>
    <w:p>
      <w:pPr>
        <w:spacing w:after="100" w:before="200"/>
      </w:pPr>
      <w:r>
        <w:rPr>
          <w:rFonts w:ascii="Arial" w:cs="Arial" w:eastAsia="Arial" w:hAnsi="Arial"/>
          <w:b/>
          <w:bCs/>
          <w:color w:val="2E4A7A"/>
          <w:sz w:val="24"/>
          <w:szCs w:val="24"/>
        </w:rPr>
        <w:t xml:space="preserve">00:00 – 01:45 | Introduction &amp; Session Overview</w:t>
      </w:r>
    </w:p>
    <w:p>
      <w:pPr>
        <w:spacing w:after="60" w:before="60"/>
      </w:pPr>
      <w:r>
        <w:rPr>
          <w:rFonts w:ascii="Arial" w:cs="Arial" w:eastAsia="Arial" w:hAnsi="Arial"/>
          <w:b w:val="false"/>
          <w:bCs w:val="false"/>
          <w:sz w:val="20"/>
          <w:szCs w:val="20"/>
        </w:rPr>
        <w:t xml:space="preserve">The team opened the Define phase by introducing two complementary analytical techniques to be executed in sequence: Data Analysis (Technique 1) and Mind Mapping (Technique 2). The objective was to process the survey dataset of 95 respondents and translate raw numbers into structured, thematic insights that would feed directly into the problem statement.</w:t>
      </w:r>
    </w:p>
    <w:p>
      <w:pPr>
        <w:spacing w:after="60" w:before="60"/>
      </w:pPr>
      <w:r>
        <w:rPr>
          <w:rFonts w:ascii="Arial" w:cs="Arial" w:eastAsia="Arial" w:hAnsi="Arial"/>
          <w:b w:val="false"/>
          <w:bCs w:val="false"/>
          <w:sz w:val="20"/>
          <w:szCs w:val="20"/>
        </w:rPr>
        <w:t xml:space="preserve">Each member was assigned a division of the survey data to analyse independently before cross-referencing findings as a group.</w:t>
      </w:r>
    </w:p>
    <w:p>
      <w:pPr>
        <w:spacing w:after="60" w:before="60"/>
      </w:pPr>
      <w:r>
        <w:rPr>
          <w:rFonts w:ascii="Arial" w:cs="Arial" w:eastAsia="Arial" w:hAnsi="Arial"/>
          <w:b/>
          <w:bCs/>
          <w:sz w:val="20"/>
          <w:szCs w:val="20"/>
        </w:rPr>
        <w:t xml:space="preserve">Key Insight:</w:t>
      </w:r>
    </w:p>
    <w:p>
      <w:pPr>
        <w:pStyle w:val="ListParagraph"/>
        <w:numPr>
          <w:ilvl w:val="0"/>
          <w:numId w:val="2"/>
        </w:numPr>
        <w:spacing w:after="40" w:before="40"/>
      </w:pPr>
      <w:r>
        <w:rPr>
          <w:rFonts w:ascii="Arial" w:cs="Arial" w:eastAsia="Arial" w:hAnsi="Arial"/>
          <w:sz w:val="20"/>
          <w:szCs w:val="20"/>
        </w:rPr>
        <w:t xml:space="preserve">Running Data Analysis and Mind Mapping in the same session ensured that findings from quantitative analysis were immediately mapped spatially, making patterns and connections visible before moving to synthesis.</w:t>
      </w:r>
    </w:p>
    <w:p>
      <w:pPr>
        <w:spacing w:after="0" w:before="120"/>
      </w:pPr>
    </w:p>
    <w:p>
      <w:pPr>
        <w:spacing w:after="100" w:before="200"/>
      </w:pPr>
      <w:r>
        <w:rPr>
          <w:rFonts w:ascii="Arial" w:cs="Arial" w:eastAsia="Arial" w:hAnsi="Arial"/>
          <w:b/>
          <w:bCs/>
          <w:color w:val="2E4A7A"/>
          <w:sz w:val="24"/>
          <w:szCs w:val="24"/>
        </w:rPr>
        <w:t xml:space="preserve">01:45 – 04:10 | Sirisha — Division 1: Demographics &amp; Behaviour Analysis</w:t>
      </w:r>
    </w:p>
    <w:p>
      <w:pPr>
        <w:spacing w:after="60" w:before="60"/>
      </w:pPr>
      <w:r>
        <w:rPr>
          <w:rFonts w:ascii="Arial" w:cs="Arial" w:eastAsia="Arial" w:hAnsi="Arial"/>
          <w:b w:val="false"/>
          <w:bCs w:val="false"/>
          <w:sz w:val="20"/>
          <w:szCs w:val="20"/>
        </w:rPr>
        <w:t xml:space="preserve">Sirisha presented her analysis of Q1 (Age Group), Q2 (Shopping Source), and Q6 (Behaviour Shift). Key data points surfaced:</w:t>
      </w:r>
    </w:p>
    <w:p>
      <w:pPr>
        <w:pStyle w:val="ListParagraph"/>
        <w:numPr>
          <w:ilvl w:val="0"/>
          <w:numId w:val="2"/>
        </w:numPr>
        <w:spacing w:after="40" w:before="40"/>
      </w:pPr>
      <w:r>
        <w:rPr>
          <w:rFonts w:ascii="Arial" w:cs="Arial" w:eastAsia="Arial" w:hAnsi="Arial"/>
          <w:sz w:val="20"/>
          <w:szCs w:val="20"/>
        </w:rPr>
        <w:t xml:space="preserve">76.8% of respondents fall in the 18–25 age bracket, making Gen Z and younger Millennials the defining voice of the dataset.</w:t>
      </w:r>
    </w:p>
    <w:p>
      <w:pPr>
        <w:pStyle w:val="ListParagraph"/>
        <w:numPr>
          <w:ilvl w:val="0"/>
          <w:numId w:val="2"/>
        </w:numPr>
        <w:spacing w:after="40" w:before="40"/>
      </w:pPr>
      <w:r>
        <w:rPr>
          <w:rFonts w:ascii="Arial" w:cs="Arial" w:eastAsia="Arial" w:hAnsi="Arial"/>
          <w:sz w:val="20"/>
          <w:szCs w:val="20"/>
        </w:rPr>
        <w:t xml:space="preserve">46.3% use a mix of all channels, confirming that omnichannel behaviour is already the lived norm — not an emerging trend.</w:t>
      </w:r>
    </w:p>
    <w:p>
      <w:pPr>
        <w:pStyle w:val="ListParagraph"/>
        <w:numPr>
          <w:ilvl w:val="0"/>
          <w:numId w:val="2"/>
        </w:numPr>
        <w:spacing w:after="40" w:before="40"/>
      </w:pPr>
      <w:r>
        <w:rPr>
          <w:rFonts w:ascii="Arial" w:cs="Arial" w:eastAsia="Arial" w:hAnsi="Arial"/>
          <w:sz w:val="20"/>
          <w:szCs w:val="20"/>
        </w:rPr>
        <w:t xml:space="preserve">51.6% report using apps more than before, signalling accelerating digital adoption. However, 38.9% show no major change, representing a stable traditional-shopper segment.</w:t>
      </w:r>
    </w:p>
    <w:p>
      <w:pPr>
        <w:spacing w:after="60" w:before="60"/>
      </w:pPr>
      <w:r>
        <w:rPr>
          <w:rFonts w:ascii="Arial" w:cs="Arial" w:eastAsia="Arial" w:hAnsi="Arial"/>
          <w:b w:val="false"/>
          <w:bCs w:val="false"/>
          <w:sz w:val="20"/>
          <w:szCs w:val="20"/>
        </w:rPr>
        <w:t xml:space="preserve">Sirisha then mapped these findings onto her Mind Map branch (‘Who Are the Users?’), organising demographic nodes into sub-branches covering shopping channel distribution and behaviour change over time.</w:t>
      </w:r>
    </w:p>
    <w:p>
      <w:pPr>
        <w:spacing w:after="60" w:before="60"/>
      </w:pPr>
      <w:r>
        <w:rPr>
          <w:rFonts w:ascii="Arial" w:cs="Arial" w:eastAsia="Arial" w:hAnsi="Arial"/>
          <w:b/>
          <w:bCs/>
          <w:sz w:val="20"/>
          <w:szCs w:val="20"/>
        </w:rPr>
        <w:t xml:space="preserve">Key Insight:</w:t>
      </w:r>
    </w:p>
    <w:p>
      <w:pPr>
        <w:pStyle w:val="ListParagraph"/>
        <w:numPr>
          <w:ilvl w:val="0"/>
          <w:numId w:val="2"/>
        </w:numPr>
        <w:spacing w:after="40" w:before="40"/>
      </w:pPr>
      <w:r>
        <w:rPr>
          <w:rFonts w:ascii="Arial" w:cs="Arial" w:eastAsia="Arial" w:hAnsi="Arial"/>
          <w:sz w:val="20"/>
          <w:szCs w:val="20"/>
        </w:rPr>
        <w:t xml:space="preserve">The mind map visualisation revealed that the ‘no change’ segment (38.9%) is not stagnation — it represents an untapped market for hybrid local-digital solutions that don’t require users to abandon familiar habits.</w:t>
      </w:r>
    </w:p>
    <w:p>
      <w:pPr>
        <w:spacing w:after="0" w:before="120"/>
      </w:pPr>
    </w:p>
    <w:p>
      <w:pPr>
        <w:spacing w:after="100" w:before="200"/>
      </w:pPr>
      <w:r>
        <w:rPr>
          <w:rFonts w:ascii="Arial" w:cs="Arial" w:eastAsia="Arial" w:hAnsi="Arial"/>
          <w:b/>
          <w:bCs/>
          <w:color w:val="2E4A7A"/>
          <w:sz w:val="24"/>
          <w:szCs w:val="24"/>
        </w:rPr>
        <w:t xml:space="preserve">04:10 – 07:20 | Sindhu — Division 2: App Usage &amp; Motivation Analysis</w:t>
      </w:r>
    </w:p>
    <w:p>
      <w:pPr>
        <w:spacing w:after="60" w:before="60"/>
      </w:pPr>
      <w:r>
        <w:rPr>
          <w:rFonts w:ascii="Arial" w:cs="Arial" w:eastAsia="Arial" w:hAnsi="Arial"/>
          <w:b w:val="false"/>
          <w:bCs w:val="false"/>
          <w:sz w:val="20"/>
          <w:szCs w:val="20"/>
        </w:rPr>
        <w:t xml:space="preserve">Sindhu presented her analysis of Q3 (App Usage Frequency), Q4 (Reasons for App Use), and Q7 (Situational Triggers). Key data points surfaced:</w:t>
      </w:r>
    </w:p>
    <w:p>
      <w:pPr>
        <w:pStyle w:val="ListParagraph"/>
        <w:numPr>
          <w:ilvl w:val="0"/>
          <w:numId w:val="2"/>
        </w:numPr>
        <w:spacing w:after="40" w:before="40"/>
      </w:pPr>
      <w:r>
        <w:rPr>
          <w:rFonts w:ascii="Arial" w:cs="Arial" w:eastAsia="Arial" w:hAnsi="Arial"/>
          <w:sz w:val="20"/>
          <w:szCs w:val="20"/>
        </w:rPr>
        <w:t xml:space="preserve">35.8% use apps occasionally — the largest single frequency segment and the highest conversion opportunity.</w:t>
      </w:r>
    </w:p>
    <w:p>
      <w:pPr>
        <w:pStyle w:val="ListParagraph"/>
        <w:numPr>
          <w:ilvl w:val="0"/>
          <w:numId w:val="2"/>
        </w:numPr>
        <w:spacing w:after="40" w:before="40"/>
      </w:pPr>
      <w:r>
        <w:rPr>
          <w:rFonts w:ascii="Arial" w:cs="Arial" w:eastAsia="Arial" w:hAnsi="Arial"/>
          <w:sz w:val="20"/>
          <w:szCs w:val="20"/>
        </w:rPr>
        <w:t xml:space="preserve">Speed (30.5%) and convenience (27.4%) together account for nearly 58% of all reasons users choose apps, making these the two dominant rational motivations.</w:t>
      </w:r>
    </w:p>
    <w:p>
      <w:pPr>
        <w:pStyle w:val="ListParagraph"/>
        <w:numPr>
          <w:ilvl w:val="0"/>
          <w:numId w:val="2"/>
        </w:numPr>
        <w:spacing w:after="40" w:before="40"/>
      </w:pPr>
      <w:r>
        <w:rPr>
          <w:rFonts w:ascii="Arial" w:cs="Arial" w:eastAsia="Arial" w:hAnsi="Arial"/>
          <w:sz w:val="20"/>
          <w:szCs w:val="20"/>
        </w:rPr>
        <w:t xml:space="preserve">Time pressure (busy schedule, 58.9%) and late-night needs (48.4%) are the top situational triggers — confirming that app choice is largely contextual, not habitual.</w:t>
      </w:r>
    </w:p>
    <w:p>
      <w:pPr>
        <w:spacing w:after="60" w:before="60"/>
      </w:pPr>
      <w:r>
        <w:rPr>
          <w:rFonts w:ascii="Arial" w:cs="Arial" w:eastAsia="Arial" w:hAnsi="Arial"/>
          <w:b w:val="false"/>
          <w:bCs w:val="false"/>
          <w:sz w:val="20"/>
          <w:szCs w:val="20"/>
        </w:rPr>
        <w:t xml:space="preserve">Sindhu mapped these findings onto her Mind Map branch (‘Why Do Users Choose Apps?’), with sub-branches for frequency tiers, motivation drivers, and situational triggers.</w:t>
      </w:r>
    </w:p>
    <w:p>
      <w:pPr>
        <w:spacing w:after="60" w:before="60"/>
      </w:pPr>
      <w:r>
        <w:rPr>
          <w:rFonts w:ascii="Arial" w:cs="Arial" w:eastAsia="Arial" w:hAnsi="Arial"/>
          <w:b/>
          <w:bCs/>
          <w:sz w:val="20"/>
          <w:szCs w:val="20"/>
        </w:rPr>
        <w:t xml:space="preserve">Key Insight:</w:t>
      </w:r>
    </w:p>
    <w:p>
      <w:pPr>
        <w:pStyle w:val="ListParagraph"/>
        <w:numPr>
          <w:ilvl w:val="0"/>
          <w:numId w:val="2"/>
        </w:numPr>
        <w:spacing w:after="40" w:before="40"/>
      </w:pPr>
      <w:r>
        <w:rPr>
          <w:rFonts w:ascii="Arial" w:cs="Arial" w:eastAsia="Arial" w:hAnsi="Arial"/>
          <w:sz w:val="20"/>
          <w:szCs w:val="20"/>
        </w:rPr>
        <w:t xml:space="preserve">A local shop that addresses even two situational triggers — through delivery and digital ordering — can recapture a significant share of the occasional-user segment (35.8%) without requiring platform-scale investment.</w:t>
      </w:r>
    </w:p>
    <w:p>
      <w:pPr>
        <w:spacing w:after="0" w:before="120"/>
      </w:pPr>
    </w:p>
    <w:p>
      <w:pPr>
        <w:spacing w:after="100" w:before="200"/>
      </w:pPr>
      <w:r>
        <w:rPr>
          <w:rFonts w:ascii="Arial" w:cs="Arial" w:eastAsia="Arial" w:hAnsi="Arial"/>
          <w:b/>
          <w:bCs/>
          <w:color w:val="2E4A7A"/>
          <w:sz w:val="24"/>
          <w:szCs w:val="24"/>
        </w:rPr>
        <w:t xml:space="preserve">07:20 – 10:40 | Sinchana — Division 3: Local Shop Loyalty, Pain Points &amp; Opportunities</w:t>
      </w:r>
    </w:p>
    <w:p>
      <w:pPr>
        <w:spacing w:after="60" w:before="60"/>
      </w:pPr>
      <w:r>
        <w:rPr>
          <w:rFonts w:ascii="Arial" w:cs="Arial" w:eastAsia="Arial" w:hAnsi="Arial"/>
          <w:b w:val="false"/>
          <w:bCs w:val="false"/>
          <w:sz w:val="20"/>
          <w:szCs w:val="20"/>
        </w:rPr>
        <w:t xml:space="preserve">Sinchana presented her analysis of Q5 (Reasons for Local Shop Loyalty), Q8 (Frustrations with Local Shops), Q9 (WhatsApp + Delivery Willingness), and Q10 (Open-Ended Improvements). Key data points surfaced:</w:t>
      </w:r>
    </w:p>
    <w:p>
      <w:pPr>
        <w:pStyle w:val="ListParagraph"/>
        <w:numPr>
          <w:ilvl w:val="0"/>
          <w:numId w:val="2"/>
        </w:numPr>
        <w:spacing w:after="40" w:before="40"/>
      </w:pPr>
      <w:r>
        <w:rPr>
          <w:rFonts w:ascii="Arial" w:cs="Arial" w:eastAsia="Arial" w:hAnsi="Arial"/>
          <w:sz w:val="20"/>
          <w:szCs w:val="20"/>
        </w:rPr>
        <w:t xml:space="preserve">Local shops retain loyalty through immediacy (31.6%), proximity (28.4%), and trust/familiarity (25.3%) — three qualities that quick-commerce apps cannot structurally replicate.</w:t>
      </w:r>
    </w:p>
    <w:p>
      <w:pPr>
        <w:pStyle w:val="ListParagraph"/>
        <w:numPr>
          <w:ilvl w:val="0"/>
          <w:numId w:val="2"/>
        </w:numPr>
        <w:spacing w:after="40" w:before="40"/>
      </w:pPr>
      <w:r>
        <w:rPr>
          <w:rFonts w:ascii="Arial" w:cs="Arial" w:eastAsia="Arial" w:hAnsi="Arial"/>
          <w:sz w:val="20"/>
          <w:szCs w:val="20"/>
        </w:rPr>
        <w:t xml:space="preserve">Top frustrations are timing/availability (24.2%) and lack of specific brand products (23.2%) — both operationally fixable without platform investment.</w:t>
      </w:r>
    </w:p>
    <w:p>
      <w:pPr>
        <w:pStyle w:val="ListParagraph"/>
        <w:numPr>
          <w:ilvl w:val="0"/>
          <w:numId w:val="2"/>
        </w:numPr>
        <w:spacing w:after="40" w:before="40"/>
      </w:pPr>
      <w:r>
        <w:rPr>
          <w:rFonts w:ascii="Arial" w:cs="Arial" w:eastAsia="Arial" w:hAnsi="Arial"/>
          <w:sz w:val="20"/>
          <w:szCs w:val="20"/>
        </w:rPr>
        <w:t xml:space="preserve">93.7% of respondents are open (51.1% Yes + 42.6% Maybe) to WhatsApp ordering + home delivery from local shops — the single most actionable data point in the survey.</w:t>
      </w:r>
    </w:p>
    <w:p>
      <w:pPr>
        <w:spacing w:after="60" w:before="60"/>
      </w:pPr>
      <w:r>
        <w:rPr>
          <w:rFonts w:ascii="Arial" w:cs="Arial" w:eastAsia="Arial" w:hAnsi="Arial"/>
          <w:b w:val="false"/>
          <w:bCs w:val="false"/>
          <w:sz w:val="20"/>
          <w:szCs w:val="20"/>
        </w:rPr>
        <w:t xml:space="preserve">Sinchana mapped these findings onto her Mind Map branch (‘Why Do Users Still Choose Local Shops?’), with sub-branches covering loyalty drivers, pain points, and improvement signals.</w:t>
      </w:r>
    </w:p>
    <w:p>
      <w:pPr>
        <w:spacing w:after="60" w:before="60"/>
      </w:pPr>
      <w:r>
        <w:rPr>
          <w:rFonts w:ascii="Arial" w:cs="Arial" w:eastAsia="Arial" w:hAnsi="Arial"/>
          <w:b/>
          <w:bCs/>
          <w:sz w:val="20"/>
          <w:szCs w:val="20"/>
        </w:rPr>
        <w:t xml:space="preserve">Key Insight:</w:t>
      </w:r>
    </w:p>
    <w:p>
      <w:pPr>
        <w:pStyle w:val="ListParagraph"/>
        <w:numPr>
          <w:ilvl w:val="0"/>
          <w:numId w:val="2"/>
        </w:numPr>
        <w:spacing w:after="40" w:before="40"/>
      </w:pPr>
      <w:r>
        <w:rPr>
          <w:rFonts w:ascii="Arial" w:cs="Arial" w:eastAsia="Arial" w:hAnsi="Arial"/>
          <w:sz w:val="20"/>
          <w:szCs w:val="20"/>
        </w:rPr>
        <w:t xml:space="preserve">The 93.7% positive-or-open response to WhatsApp + delivery directly validates a hybrid local-digital product concept. Resistance to adoption is minimal (6.3%), a rare condition that de-risks product development.</w:t>
      </w:r>
    </w:p>
    <w:p>
      <w:pPr>
        <w:spacing w:after="0" w:before="120"/>
      </w:pPr>
    </w:p>
    <w:p>
      <w:pPr>
        <w:spacing w:after="100" w:before="200"/>
      </w:pPr>
      <w:r>
        <w:rPr>
          <w:rFonts w:ascii="Arial" w:cs="Arial" w:eastAsia="Arial" w:hAnsi="Arial"/>
          <w:b/>
          <w:bCs/>
          <w:color w:val="2E4A7A"/>
          <w:sz w:val="24"/>
          <w:szCs w:val="24"/>
        </w:rPr>
        <w:t xml:space="preserve">10:40 – 12:00 | Cross-Division Synthesis &amp; Pattern Recognition</w:t>
      </w:r>
    </w:p>
    <w:p>
      <w:pPr>
        <w:spacing w:after="60" w:before="60"/>
      </w:pPr>
      <w:r>
        <w:rPr>
          <w:rFonts w:ascii="Arial" w:cs="Arial" w:eastAsia="Arial" w:hAnsi="Arial"/>
          <w:b w:val="false"/>
          <w:bCs w:val="false"/>
          <w:sz w:val="20"/>
          <w:szCs w:val="20"/>
        </w:rPr>
        <w:t xml:space="preserve">The team viewed all three Mind Map branches together and identified cross-cutting patterns that neither analysis nor mind mapping alone had surfaced:</w:t>
      </w:r>
    </w:p>
    <w:p>
      <w:pPr>
        <w:pStyle w:val="ListParagraph"/>
        <w:numPr>
          <w:ilvl w:val="0"/>
          <w:numId w:val="2"/>
        </w:numPr>
        <w:spacing w:after="40" w:before="40"/>
      </w:pPr>
      <w:r>
        <w:rPr>
          <w:rFonts w:ascii="Arial" w:cs="Arial" w:eastAsia="Arial" w:hAnsi="Arial"/>
          <w:sz w:val="20"/>
          <w:szCs w:val="20"/>
        </w:rPr>
        <w:t xml:space="preserve">The dominant user (18–25, omnichannel) values apps for what they do — not what they are. Speed and convenience are functional benefits, not emotional brand loyalties.</w:t>
      </w:r>
    </w:p>
    <w:p>
      <w:pPr>
        <w:pStyle w:val="ListParagraph"/>
        <w:numPr>
          <w:ilvl w:val="0"/>
          <w:numId w:val="2"/>
        </w:numPr>
        <w:spacing w:after="40" w:before="40"/>
      </w:pPr>
      <w:r>
        <w:rPr>
          <w:rFonts w:ascii="Arial" w:cs="Arial" w:eastAsia="Arial" w:hAnsi="Arial"/>
          <w:sz w:val="20"/>
          <w:szCs w:val="20"/>
        </w:rPr>
        <w:t xml:space="preserve">Local shops are not failing on trust or proximity — they are failing on visibility and accessibility. Unpredictable hours and no digital ordering are the critical gaps.</w:t>
      </w:r>
    </w:p>
    <w:p>
      <w:pPr>
        <w:pStyle w:val="ListParagraph"/>
        <w:numPr>
          <w:ilvl w:val="0"/>
          <w:numId w:val="2"/>
        </w:numPr>
        <w:spacing w:after="40" w:before="40"/>
      </w:pPr>
      <w:r>
        <w:rPr>
          <w:rFonts w:ascii="Arial" w:cs="Arial" w:eastAsia="Arial" w:hAnsi="Arial"/>
          <w:sz w:val="20"/>
          <w:szCs w:val="20"/>
        </w:rPr>
        <w:t xml:space="preserve">The 93.7% WhatsApp + delivery openness maps directly onto the 58% who cite speed + convenience as app drivers — suggesting the same users who go to apps for speed are open to getting that speed from a local shop.</w:t>
      </w:r>
    </w:p>
    <w:p>
      <w:pPr>
        <w:spacing w:after="60" w:before="60"/>
      </w:pPr>
      <w:r>
        <w:rPr>
          <w:rFonts w:ascii="Arial" w:cs="Arial" w:eastAsia="Arial" w:hAnsi="Arial"/>
          <w:b/>
          <w:bCs/>
          <w:sz w:val="20"/>
          <w:szCs w:val="20"/>
        </w:rPr>
        <w:t xml:space="preserve">Key Insight:</w:t>
      </w:r>
    </w:p>
    <w:p>
      <w:pPr>
        <w:pStyle w:val="ListParagraph"/>
        <w:numPr>
          <w:ilvl w:val="0"/>
          <w:numId w:val="2"/>
        </w:numPr>
        <w:spacing w:after="40" w:before="40"/>
      </w:pPr>
      <w:r>
        <w:rPr>
          <w:rFonts w:ascii="Arial" w:cs="Arial" w:eastAsia="Arial" w:hAnsi="Arial"/>
          <w:sz w:val="20"/>
          <w:szCs w:val="20"/>
        </w:rPr>
        <w:t xml:space="preserve">The mind map revealed a convergence point: the gap between what local shops are and what users need them to be is bridgeable with light digitisation, not a platform rebuild.</w:t>
      </w:r>
    </w:p>
    <w:p>
      <w:pPr>
        <w:spacing w:after="0" w:before="120"/>
      </w:pPr>
    </w:p>
    <w:p>
      <w:pPr>
        <w:spacing w:after="100" w:before="200"/>
      </w:pPr>
      <w:r>
        <w:rPr>
          <w:rFonts w:ascii="Arial" w:cs="Arial" w:eastAsia="Arial" w:hAnsi="Arial"/>
          <w:b/>
          <w:bCs/>
          <w:color w:val="2E4A7A"/>
          <w:sz w:val="24"/>
          <w:szCs w:val="24"/>
        </w:rPr>
        <w:t xml:space="preserve">12:00 – 12:46 | Conclusion &amp; Transition to Affinity Mapping</w:t>
      </w:r>
    </w:p>
    <w:p>
      <w:pPr>
        <w:spacing w:after="60" w:before="60"/>
      </w:pPr>
      <w:r>
        <w:rPr>
          <w:rFonts w:ascii="Arial" w:cs="Arial" w:eastAsia="Arial" w:hAnsi="Arial"/>
          <w:b w:val="false"/>
          <w:bCs w:val="false"/>
          <w:sz w:val="20"/>
          <w:szCs w:val="20"/>
        </w:rPr>
        <w:t xml:space="preserve">The team concluded the Data Analysis and Mind Mapping session with agreement on the following:</w:t>
      </w:r>
    </w:p>
    <w:p>
      <w:pPr>
        <w:pStyle w:val="ListParagraph"/>
        <w:numPr>
          <w:ilvl w:val="0"/>
          <w:numId w:val="2"/>
        </w:numPr>
        <w:spacing w:after="40" w:before="40"/>
      </w:pPr>
      <w:r>
        <w:rPr>
          <w:rFonts w:ascii="Arial" w:cs="Arial" w:eastAsia="Arial" w:hAnsi="Arial"/>
          <w:sz w:val="20"/>
          <w:szCs w:val="20"/>
        </w:rPr>
        <w:t xml:space="preserve">The dataset is youth-dominated (76.8% aged 18–25) and the design solution must serve a digitally-native, mobile-first audience as its primary persona.</w:t>
      </w:r>
    </w:p>
    <w:p>
      <w:pPr>
        <w:pStyle w:val="ListParagraph"/>
        <w:numPr>
          <w:ilvl w:val="0"/>
          <w:numId w:val="2"/>
        </w:numPr>
        <w:spacing w:after="40" w:before="40"/>
      </w:pPr>
      <w:r>
        <w:rPr>
          <w:rFonts w:ascii="Arial" w:cs="Arial" w:eastAsia="Arial" w:hAnsi="Arial"/>
          <w:sz w:val="20"/>
          <w:szCs w:val="20"/>
        </w:rPr>
        <w:t xml:space="preserve">App preference is situational and rational — not a permanent behavioural commitment — making it addressable by a well-designed local alternative.</w:t>
      </w:r>
    </w:p>
    <w:p>
      <w:pPr>
        <w:pStyle w:val="ListParagraph"/>
        <w:numPr>
          <w:ilvl w:val="0"/>
          <w:numId w:val="2"/>
        </w:numPr>
        <w:spacing w:after="40" w:before="40"/>
      </w:pPr>
      <w:r>
        <w:rPr>
          <w:rFonts w:ascii="Arial" w:cs="Arial" w:eastAsia="Arial" w:hAnsi="Arial"/>
          <w:sz w:val="20"/>
          <w:szCs w:val="20"/>
        </w:rPr>
        <w:t xml:space="preserve">Local shops hold genuine competitive advantages (immediacy, proximity, trust) that can be amplified rather than replaced.</w:t>
      </w:r>
    </w:p>
    <w:p>
      <w:pPr>
        <w:pStyle w:val="ListParagraph"/>
        <w:numPr>
          <w:ilvl w:val="0"/>
          <w:numId w:val="2"/>
        </w:numPr>
        <w:spacing w:after="40" w:before="40"/>
      </w:pPr>
      <w:r>
        <w:rPr>
          <w:rFonts w:ascii="Arial" w:cs="Arial" w:eastAsia="Arial" w:hAnsi="Arial"/>
          <w:sz w:val="20"/>
          <w:szCs w:val="20"/>
        </w:rPr>
        <w:t xml:space="preserve">WhatsApp ordering + home delivery is the most validated solution concept, with near-universal openness from respondents.</w:t>
      </w:r>
    </w:p>
    <w:p>
      <w:pPr>
        <w:spacing w:after="60" w:before="60"/>
      </w:pPr>
      <w:r>
        <w:rPr>
          <w:rFonts w:ascii="Arial" w:cs="Arial" w:eastAsia="Arial" w:hAnsi="Arial"/>
          <w:b w:val="false"/>
          <w:bCs w:val="false"/>
          <w:sz w:val="20"/>
          <w:szCs w:val="20"/>
        </w:rPr>
        <w:t xml:space="preserve">The team agreed to carry all three mind map branches into Technique 3 (Affinity Mapping), where sticky notes drawn from both data analysis and mind mapping would be grouped into actionable insight clusters.</w:t>
      </w:r>
    </w:p>
    <w:p>
      <w:pPr>
        <w:pBdr>
          <w:bottom w:val="single" w:color="2E4A7A" w:sz="4" w:space="1"/>
        </w:pBdr>
        <w:spacing w:after="120" w:before="120"/>
      </w:pPr>
    </w:p>
    <w:p>
      <w:pPr>
        <w:spacing w:after="100" w:before="200"/>
      </w:pPr>
      <w:r>
        <w:rPr>
          <w:rFonts w:ascii="Arial" w:cs="Arial" w:eastAsia="Arial" w:hAnsi="Arial"/>
          <w:b/>
          <w:bCs/>
          <w:color w:val="2E4A7A"/>
          <w:sz w:val="24"/>
          <w:szCs w:val="24"/>
        </w:rPr>
        <w:t xml:space="preserve">Outcome of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4A7A" w:sz="4"/>
              <w:left w:val="single" w:color="2E4A7A" w:sz="4"/>
              <w:bottom w:val="single" w:color="2E4A7A" w:sz="4"/>
              <w:right w:val="single" w:color="2E4A7A" w:sz="4"/>
            </w:tcBorders>
            <w:shd w:fill="2E4A7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Theme</w:t>
            </w:r>
          </w:p>
        </w:tc>
        <w:tc>
          <w:tcPr>
            <w:tcBorders>
              <w:top w:val="single" w:color="2E4A7A" w:sz="4"/>
              <w:left w:val="single" w:color="2E4A7A" w:sz="4"/>
              <w:bottom w:val="single" w:color="2E4A7A" w:sz="4"/>
              <w:right w:val="single" w:color="2E4A7A" w:sz="4"/>
            </w:tcBorders>
            <w:shd w:fill="2E4A7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Key Takeaway</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sz w:val="20"/>
                <w:szCs w:val="20"/>
              </w:rPr>
              <w:t xml:space="preserve">User Profile (Sirisha)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76.8% aged 18–25; omnichannel by default; digital adoption accelerating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Motivation (Sindhu)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Speed + convenience = 58% of app choice; triggers are situational, not habitual</w:t>
            </w:r>
          </w:p>
        </w:tc>
      </w:tr>
      <w:tr>
        <w:tc>
          <w:tcPr>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val="false"/>
                <w:bCs w:val="false"/>
                <w:sz w:val="20"/>
                <w:szCs w:val="20"/>
              </w:rPr>
              <w:t xml:space="preserve">Local Shop Reality (Sinchana)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Trust + immediacy retained; 93.7% open to WhatsApp + delivery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Cross-Synthesis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Gap is bridgeable with light digitisation; no platform rebuild required</w:t>
            </w:r>
          </w:p>
        </w:tc>
      </w:tr>
    </w:tbl>
    <w:p>
      <w:pPr>
        <w:spacing w:after="60" w:before="160"/>
      </w:pPr>
    </w:p>
    <w:p>
      <w:pPr>
        <w:spacing w:after="60" w:before="60"/>
      </w:pPr>
      <w:r>
        <w:rPr>
          <w:rFonts w:ascii="Arial" w:cs="Arial" w:eastAsia="Arial" w:hAnsi="Arial"/>
          <w:b/>
          <w:bCs/>
          <w:sz w:val="20"/>
          <w:szCs w:val="20"/>
        </w:rPr>
        <w:t xml:space="preserve">Next Step: Carry all findings into Define Phase – Technique 3 (Affinity Mapping), clustering observations into themed sticky notes to surface the final problem statement.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2026-06-28T09:31:39.388Z</dcterms:created>
  <dcterms:modified xsi:type="dcterms:W3CDTF">2026-06-28T09:31:39.389Z</dcterms:modified>
</cp:coreProperties>
</file>

<file path=docProps/custom.xml><?xml version="1.0" encoding="utf-8"?>
<Properties xmlns="http://schemas.openxmlformats.org/officeDocument/2006/custom-properties" xmlns:vt="http://schemas.openxmlformats.org/officeDocument/2006/docPropsVTypes"/>
</file>