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Realtor.com Midyear Housing Forecast (July 2025 Update)</w:t>
      </w:r>
    </w:p>
    <w:p>
      <w:pPr>
        <w:pStyle w:val="Heading2"/>
      </w:pPr>
      <w:r>
        <w:t>Mortgage Rates</w:t>
      </w:r>
    </w:p>
    <w:p>
      <w:r>
        <w:t>Elevated rates are pushing affordability down. The updated forecast raises the average 30-year fixed mortgage rate to 6.7% for 2025, with year-end rates expected around 6.4%—higher than December's earlier projections of 6.3% average and 6.2% year-end.</w:t>
      </w:r>
    </w:p>
    <w:p>
      <w:pPr>
        <w:pStyle w:val="Heading2"/>
      </w:pPr>
      <w:r>
        <w:t>Home Sales</w:t>
      </w:r>
    </w:p>
    <w:p>
      <w:r>
        <w:t>Expected to decline by 1.5%, resulting in about 4 million existing-home sales, potentially marking the slowest sales pace since 1995.</w:t>
      </w:r>
    </w:p>
    <w:p>
      <w:pPr>
        <w:pStyle w:val="Heading2"/>
      </w:pPr>
      <w:r>
        <w:t>Home Prices &amp; Inventory</w:t>
      </w:r>
    </w:p>
    <w:p>
      <w:r>
        <w:t>Home price growth is forecasted to slow to around 2.5% for the year, down from earlier estimates. Inventory is projected to increase sharply—existing for-sale inventory rising ~16.9%, and single-family starts up ~13.8%, improving market balance.</w:t>
      </w:r>
    </w:p>
    <w:p>
      <w:pPr>
        <w:pStyle w:val="Heading2"/>
      </w:pPr>
      <w:r>
        <w:t>Background: December 2024 Forecast by Realtor.com</w:t>
      </w:r>
    </w:p>
    <w:p>
      <w:r>
        <w:t>Earlier projections (Dec 2024) expected:</w:t>
        <w:br/>
        <w:t>- Mortgage rates averaging 6.3% (6.2% by year-end)</w:t>
        <w:br/>
        <w:t>- Home price growth: +3.7%</w:t>
        <w:br/>
        <w:t>- Sales increase: +1.5% to 4.07 million</w:t>
        <w:br/>
        <w:t>- Inventory growth: +11.7%</w:t>
        <w:br/>
        <w:t>- Single-family housing starts: +13.8% to 1.1 million</w:t>
      </w:r>
    </w:p>
    <w:p>
      <w:pPr>
        <w:pStyle w:val="Heading2"/>
      </w:pPr>
      <w:r>
        <w:t>Comparisons with Other Forecasts</w:t>
      </w:r>
    </w:p>
    <w:p>
      <w:r>
        <w:t>Fannie Mae anticipates average mortgage rates near 6.8% in 2025, easing to ~6.6% by year-end. National Association of Realtors sees average rates closer to 6.0%, offering a more optimistic outlook.</w:t>
      </w:r>
    </w:p>
    <w:p>
      <w:pPr>
        <w:pStyle w:val="Heading2"/>
      </w:pPr>
      <w:r>
        <w:t>In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Topic</w:t>
            </w:r>
          </w:p>
        </w:tc>
        <w:tc>
          <w:tcPr>
            <w:tcW w:type="dxa" w:w="2880"/>
          </w:tcPr>
          <w:p>
            <w:r>
              <w:t>Midyear Forecast (July 2025)</w:t>
            </w:r>
          </w:p>
        </w:tc>
        <w:tc>
          <w:tcPr>
            <w:tcW w:type="dxa" w:w="2880"/>
          </w:tcPr>
          <w:p>
            <w:r>
              <w:t>Earlier Forecast (Dec 2024)</w:t>
            </w:r>
          </w:p>
        </w:tc>
      </w:tr>
      <w:tr>
        <w:tc>
          <w:tcPr>
            <w:tcW w:type="dxa" w:w="2880"/>
          </w:tcPr>
          <w:p>
            <w:r>
              <w:t>Mortgage Rates</w:t>
            </w:r>
          </w:p>
        </w:tc>
        <w:tc>
          <w:tcPr>
            <w:tcW w:type="dxa" w:w="2880"/>
          </w:tcPr>
          <w:p>
            <w:r>
              <w:t>~6.7% avg, ~6.4% year-end</w:t>
            </w:r>
          </w:p>
        </w:tc>
        <w:tc>
          <w:tcPr>
            <w:tcW w:type="dxa" w:w="2880"/>
          </w:tcPr>
          <w:p>
            <w:r>
              <w:t>~6.3% avg, ~6.2% year-end</w:t>
            </w:r>
          </w:p>
        </w:tc>
      </w:tr>
      <w:tr>
        <w:tc>
          <w:tcPr>
            <w:tcW w:type="dxa" w:w="2880"/>
          </w:tcPr>
          <w:p>
            <w:r>
              <w:t>Home Sales</w:t>
            </w:r>
          </w:p>
        </w:tc>
        <w:tc>
          <w:tcPr>
            <w:tcW w:type="dxa" w:w="2880"/>
          </w:tcPr>
          <w:p>
            <w:r>
              <w:t>–1.5% (~4.0 million)</w:t>
            </w:r>
          </w:p>
        </w:tc>
        <w:tc>
          <w:tcPr>
            <w:tcW w:type="dxa" w:w="2880"/>
          </w:tcPr>
          <w:p>
            <w:r>
              <w:t>+1.5% (~4.07 million)</w:t>
            </w:r>
          </w:p>
        </w:tc>
      </w:tr>
      <w:tr>
        <w:tc>
          <w:tcPr>
            <w:tcW w:type="dxa" w:w="2880"/>
          </w:tcPr>
          <w:p>
            <w:r>
              <w:t>Price Growth</w:t>
            </w:r>
          </w:p>
        </w:tc>
        <w:tc>
          <w:tcPr>
            <w:tcW w:type="dxa" w:w="2880"/>
          </w:tcPr>
          <w:p>
            <w:r>
              <w:t>+2.5%</w:t>
            </w:r>
          </w:p>
        </w:tc>
        <w:tc>
          <w:tcPr>
            <w:tcW w:type="dxa" w:w="2880"/>
          </w:tcPr>
          <w:p>
            <w:r>
              <w:t>+3.7%</w:t>
            </w:r>
          </w:p>
        </w:tc>
      </w:tr>
      <w:tr>
        <w:tc>
          <w:tcPr>
            <w:tcW w:type="dxa" w:w="2880"/>
          </w:tcPr>
          <w:p>
            <w:r>
              <w:t>Inventory Growth</w:t>
            </w:r>
          </w:p>
        </w:tc>
        <w:tc>
          <w:tcPr>
            <w:tcW w:type="dxa" w:w="2880"/>
          </w:tcPr>
          <w:p>
            <w:r>
              <w:t>+16.9%</w:t>
            </w:r>
          </w:p>
        </w:tc>
        <w:tc>
          <w:tcPr>
            <w:tcW w:type="dxa" w:w="2880"/>
          </w:tcPr>
          <w:p>
            <w:r>
              <w:t>+11.7%</w:t>
            </w:r>
          </w:p>
        </w:tc>
      </w:tr>
      <w:tr>
        <w:tc>
          <w:tcPr>
            <w:tcW w:type="dxa" w:w="2880"/>
          </w:tcPr>
          <w:p>
            <w:r>
              <w:t>Housing Starts</w:t>
            </w:r>
          </w:p>
        </w:tc>
        <w:tc>
          <w:tcPr>
            <w:tcW w:type="dxa" w:w="2880"/>
          </w:tcPr>
          <w:p>
            <w:r>
              <w:t>–3.7%</w:t>
            </w:r>
          </w:p>
        </w:tc>
        <w:tc>
          <w:tcPr>
            <w:tcW w:type="dxa" w:w="2880"/>
          </w:tcPr>
          <w:p>
            <w:r>
              <w:t>+13.8% (to 1.1M single-family starts)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