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1A369" w14:textId="77777777" w:rsidR="00C43ADE" w:rsidRDefault="000717A4" w:rsidP="000717A4">
      <w:pPr>
        <w:rPr>
          <w:rFonts w:ascii="Times New Roman" w:eastAsia="Times New Roman" w:hAnsi="Times New Roman" w:cs="Times New Roman"/>
          <w:color w:val="212121"/>
          <w:sz w:val="22"/>
          <w:szCs w:val="22"/>
          <w:shd w:val="clear" w:color="auto" w:fill="FFFFFF"/>
        </w:rPr>
      </w:pPr>
      <w:r w:rsidRPr="00FE6B2B">
        <w:rPr>
          <w:rFonts w:ascii="Times New Roman" w:eastAsia="Times New Roman" w:hAnsi="Times New Roman" w:cs="Times New Roman"/>
          <w:color w:val="212121"/>
          <w:sz w:val="22"/>
          <w:szCs w:val="22"/>
          <w:shd w:val="clear" w:color="auto" w:fill="FFFFFF"/>
        </w:rPr>
        <w:t>Pre-analysis Plan</w:t>
      </w:r>
      <w:r w:rsidRPr="00FE6B2B">
        <w:rPr>
          <w:rFonts w:ascii="Times New Roman" w:eastAsia="Times New Roman" w:hAnsi="Times New Roman" w:cs="Times New Roman"/>
          <w:color w:val="212121"/>
          <w:sz w:val="22"/>
          <w:szCs w:val="22"/>
          <w:shd w:val="clear" w:color="auto" w:fill="FFFFFF"/>
        </w:rPr>
        <w:tab/>
      </w:r>
      <w:r w:rsidRPr="00FE6B2B">
        <w:rPr>
          <w:rFonts w:ascii="Times New Roman" w:eastAsia="Times New Roman" w:hAnsi="Times New Roman" w:cs="Times New Roman"/>
          <w:color w:val="212121"/>
          <w:sz w:val="22"/>
          <w:szCs w:val="22"/>
          <w:shd w:val="clear" w:color="auto" w:fill="FFFFFF"/>
        </w:rPr>
        <w:tab/>
      </w:r>
      <w:r w:rsidRPr="00FE6B2B">
        <w:rPr>
          <w:rFonts w:ascii="Times New Roman" w:eastAsia="Times New Roman" w:hAnsi="Times New Roman" w:cs="Times New Roman"/>
          <w:color w:val="212121"/>
          <w:sz w:val="22"/>
          <w:szCs w:val="22"/>
          <w:shd w:val="clear" w:color="auto" w:fill="FFFFFF"/>
        </w:rPr>
        <w:tab/>
      </w:r>
      <w:r w:rsidRPr="00FE6B2B">
        <w:rPr>
          <w:rFonts w:ascii="Times New Roman" w:eastAsia="Times New Roman" w:hAnsi="Times New Roman" w:cs="Times New Roman"/>
          <w:color w:val="212121"/>
          <w:sz w:val="22"/>
          <w:szCs w:val="22"/>
          <w:shd w:val="clear" w:color="auto" w:fill="FFFFFF"/>
        </w:rPr>
        <w:tab/>
      </w:r>
      <w:r w:rsidRPr="00FE6B2B">
        <w:rPr>
          <w:rFonts w:ascii="Times New Roman" w:eastAsia="Times New Roman" w:hAnsi="Times New Roman" w:cs="Times New Roman"/>
          <w:color w:val="212121"/>
          <w:sz w:val="22"/>
          <w:szCs w:val="22"/>
          <w:shd w:val="clear" w:color="auto" w:fill="FFFFFF"/>
        </w:rPr>
        <w:tab/>
      </w:r>
      <w:r w:rsidRPr="00FE6B2B">
        <w:rPr>
          <w:rFonts w:ascii="Times New Roman" w:eastAsia="Times New Roman" w:hAnsi="Times New Roman" w:cs="Times New Roman"/>
          <w:color w:val="212121"/>
          <w:sz w:val="22"/>
          <w:szCs w:val="22"/>
          <w:shd w:val="clear" w:color="auto" w:fill="FFFFFF"/>
        </w:rPr>
        <w:tab/>
      </w:r>
      <w:r w:rsidRPr="00FE6B2B">
        <w:rPr>
          <w:rFonts w:ascii="Times New Roman" w:eastAsia="Times New Roman" w:hAnsi="Times New Roman" w:cs="Times New Roman"/>
          <w:color w:val="212121"/>
          <w:sz w:val="22"/>
          <w:szCs w:val="22"/>
          <w:shd w:val="clear" w:color="auto" w:fill="FFFFFF"/>
        </w:rPr>
        <w:tab/>
      </w:r>
      <w:r w:rsidRPr="00FE6B2B">
        <w:rPr>
          <w:rFonts w:ascii="Times New Roman" w:eastAsia="Times New Roman" w:hAnsi="Times New Roman" w:cs="Times New Roman"/>
          <w:color w:val="212121"/>
          <w:sz w:val="22"/>
          <w:szCs w:val="22"/>
          <w:shd w:val="clear" w:color="auto" w:fill="FFFFFF"/>
        </w:rPr>
        <w:tab/>
      </w:r>
      <w:r w:rsidR="001645BB">
        <w:rPr>
          <w:rFonts w:ascii="Times New Roman" w:eastAsia="Times New Roman" w:hAnsi="Times New Roman" w:cs="Times New Roman"/>
          <w:color w:val="212121"/>
          <w:sz w:val="22"/>
          <w:szCs w:val="22"/>
          <w:shd w:val="clear" w:color="auto" w:fill="FFFFFF"/>
        </w:rPr>
        <w:t xml:space="preserve">             </w:t>
      </w:r>
    </w:p>
    <w:p w14:paraId="7454EF1A" w14:textId="6275D4BA" w:rsidR="000717A4" w:rsidRPr="00FE6B2B" w:rsidRDefault="0033348E" w:rsidP="000717A4">
      <w:pP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March</w:t>
      </w:r>
      <w:r w:rsidR="006E06F3">
        <w:rPr>
          <w:rFonts w:ascii="Times New Roman" w:eastAsia="Times New Roman" w:hAnsi="Times New Roman" w:cs="Times New Roman"/>
          <w:color w:val="212121"/>
          <w:sz w:val="22"/>
          <w:szCs w:val="22"/>
          <w:shd w:val="clear" w:color="auto" w:fill="FFFFFF"/>
        </w:rPr>
        <w:t xml:space="preserve"> </w:t>
      </w:r>
      <w:r>
        <w:rPr>
          <w:rFonts w:ascii="Times New Roman" w:eastAsia="Times New Roman" w:hAnsi="Times New Roman" w:cs="Times New Roman"/>
          <w:color w:val="212121"/>
          <w:sz w:val="22"/>
          <w:szCs w:val="22"/>
          <w:shd w:val="clear" w:color="auto" w:fill="FFFFFF"/>
        </w:rPr>
        <w:t>11</w:t>
      </w:r>
      <w:r w:rsidR="00D66D7F">
        <w:rPr>
          <w:rFonts w:ascii="Times New Roman" w:eastAsia="Times New Roman" w:hAnsi="Times New Roman" w:cs="Times New Roman"/>
          <w:color w:val="212121"/>
          <w:sz w:val="22"/>
          <w:szCs w:val="22"/>
          <w:shd w:val="clear" w:color="auto" w:fill="FFFFFF"/>
        </w:rPr>
        <w:t>,</w:t>
      </w:r>
      <w:r w:rsidR="000717A4" w:rsidRPr="00FE6B2B">
        <w:rPr>
          <w:rFonts w:ascii="Times New Roman" w:eastAsia="Times New Roman" w:hAnsi="Times New Roman" w:cs="Times New Roman"/>
          <w:color w:val="212121"/>
          <w:sz w:val="22"/>
          <w:szCs w:val="22"/>
          <w:shd w:val="clear" w:color="auto" w:fill="FFFFFF"/>
        </w:rPr>
        <w:t xml:space="preserve"> 201</w:t>
      </w:r>
      <w:r>
        <w:rPr>
          <w:rFonts w:ascii="Times New Roman" w:eastAsia="Times New Roman" w:hAnsi="Times New Roman" w:cs="Times New Roman"/>
          <w:color w:val="212121"/>
          <w:sz w:val="22"/>
          <w:szCs w:val="22"/>
          <w:shd w:val="clear" w:color="auto" w:fill="FFFFFF"/>
        </w:rPr>
        <w:t>9</w:t>
      </w:r>
    </w:p>
    <w:p w14:paraId="7965B68C" w14:textId="77777777" w:rsidR="000717A4" w:rsidRPr="00FE6B2B" w:rsidRDefault="000717A4" w:rsidP="000717A4">
      <w:pPr>
        <w:rPr>
          <w:rFonts w:ascii="Times New Roman" w:eastAsia="Times New Roman" w:hAnsi="Times New Roman" w:cs="Times New Roman"/>
          <w:color w:val="212121"/>
          <w:sz w:val="22"/>
          <w:szCs w:val="22"/>
          <w:shd w:val="clear" w:color="auto" w:fill="FFFFFF"/>
        </w:rPr>
      </w:pPr>
    </w:p>
    <w:p w14:paraId="2D9578A6" w14:textId="77777777" w:rsidR="006E06F3" w:rsidRDefault="0034004F" w:rsidP="0034004F">
      <w:pPr>
        <w:jc w:val="center"/>
        <w:rPr>
          <w:rFonts w:ascii="Times New Roman" w:eastAsia="Times New Roman" w:hAnsi="Times New Roman" w:cs="Times New Roman"/>
          <w:b/>
          <w:color w:val="212121"/>
          <w:sz w:val="22"/>
          <w:szCs w:val="22"/>
          <w:shd w:val="clear" w:color="auto" w:fill="FFFFFF"/>
        </w:rPr>
      </w:pPr>
      <w:r>
        <w:rPr>
          <w:rFonts w:ascii="Times New Roman" w:eastAsia="Times New Roman" w:hAnsi="Times New Roman" w:cs="Times New Roman"/>
          <w:b/>
          <w:color w:val="212121"/>
          <w:sz w:val="22"/>
          <w:szCs w:val="22"/>
          <w:shd w:val="clear" w:color="auto" w:fill="FFFFFF"/>
        </w:rPr>
        <w:t>Effectiveness</w:t>
      </w:r>
      <w:r w:rsidRPr="002D11CA">
        <w:rPr>
          <w:rFonts w:ascii="Times New Roman" w:eastAsia="Times New Roman" w:hAnsi="Times New Roman" w:cs="Times New Roman"/>
          <w:b/>
          <w:color w:val="212121"/>
          <w:sz w:val="22"/>
          <w:szCs w:val="22"/>
          <w:shd w:val="clear" w:color="auto" w:fill="FFFFFF"/>
        </w:rPr>
        <w:t xml:space="preserve"> </w:t>
      </w:r>
      <w:r w:rsidR="000717A4" w:rsidRPr="002D11CA">
        <w:rPr>
          <w:rFonts w:ascii="Times New Roman" w:eastAsia="Times New Roman" w:hAnsi="Times New Roman" w:cs="Times New Roman"/>
          <w:b/>
          <w:color w:val="212121"/>
          <w:sz w:val="22"/>
          <w:szCs w:val="22"/>
          <w:shd w:val="clear" w:color="auto" w:fill="FFFFFF"/>
        </w:rPr>
        <w:t xml:space="preserve">of the 2016 </w:t>
      </w:r>
      <w:r w:rsidR="002835DB">
        <w:rPr>
          <w:rFonts w:ascii="Times New Roman" w:eastAsia="Times New Roman" w:hAnsi="Times New Roman" w:cs="Times New Roman"/>
          <w:b/>
          <w:color w:val="212121"/>
          <w:sz w:val="22"/>
          <w:szCs w:val="22"/>
          <w:shd w:val="clear" w:color="auto" w:fill="FFFFFF"/>
        </w:rPr>
        <w:t xml:space="preserve">California Policy to Eliminate Non-Medical Exemptions </w:t>
      </w:r>
    </w:p>
    <w:p w14:paraId="4E190DAC" w14:textId="61C3BF79" w:rsidR="000717A4" w:rsidRDefault="002D11CA" w:rsidP="0034004F">
      <w:pPr>
        <w:jc w:val="center"/>
        <w:rPr>
          <w:rFonts w:ascii="Times New Roman" w:eastAsia="Times New Roman" w:hAnsi="Times New Roman" w:cs="Times New Roman"/>
          <w:b/>
          <w:color w:val="212121"/>
          <w:sz w:val="22"/>
          <w:szCs w:val="22"/>
          <w:shd w:val="clear" w:color="auto" w:fill="FFFFFF"/>
        </w:rPr>
      </w:pPr>
      <w:r>
        <w:rPr>
          <w:rFonts w:ascii="Times New Roman" w:eastAsia="Times New Roman" w:hAnsi="Times New Roman" w:cs="Times New Roman"/>
          <w:b/>
          <w:color w:val="212121"/>
          <w:sz w:val="22"/>
          <w:szCs w:val="22"/>
          <w:shd w:val="clear" w:color="auto" w:fill="FFFFFF"/>
        </w:rPr>
        <w:t>on Vaccine Coverage</w:t>
      </w:r>
      <w:r w:rsidR="0034004F">
        <w:rPr>
          <w:rFonts w:ascii="Times New Roman" w:eastAsia="Times New Roman" w:hAnsi="Times New Roman" w:cs="Times New Roman"/>
          <w:b/>
          <w:color w:val="212121"/>
          <w:sz w:val="22"/>
          <w:szCs w:val="22"/>
          <w:shd w:val="clear" w:color="auto" w:fill="FFFFFF"/>
        </w:rPr>
        <w:t xml:space="preserve">: </w:t>
      </w:r>
      <w:r w:rsidR="006F7F69">
        <w:rPr>
          <w:rFonts w:ascii="Times New Roman" w:eastAsia="Times New Roman" w:hAnsi="Times New Roman" w:cs="Times New Roman"/>
          <w:b/>
          <w:color w:val="212121"/>
          <w:sz w:val="22"/>
          <w:szCs w:val="22"/>
          <w:shd w:val="clear" w:color="auto" w:fill="FFFFFF"/>
        </w:rPr>
        <w:t>A</w:t>
      </w:r>
      <w:r w:rsidR="0034004F">
        <w:rPr>
          <w:rFonts w:ascii="Times New Roman" w:eastAsia="Times New Roman" w:hAnsi="Times New Roman" w:cs="Times New Roman"/>
          <w:b/>
          <w:color w:val="212121"/>
          <w:sz w:val="22"/>
          <w:szCs w:val="22"/>
          <w:shd w:val="clear" w:color="auto" w:fill="FFFFFF"/>
        </w:rPr>
        <w:t xml:space="preserve"> Syntheti</w:t>
      </w:r>
      <w:r w:rsidR="006E06F3">
        <w:rPr>
          <w:rFonts w:ascii="Times New Roman" w:eastAsia="Times New Roman" w:hAnsi="Times New Roman" w:cs="Times New Roman"/>
          <w:b/>
          <w:color w:val="212121"/>
          <w:sz w:val="22"/>
          <w:szCs w:val="22"/>
          <w:shd w:val="clear" w:color="auto" w:fill="FFFFFF"/>
        </w:rPr>
        <w:t>c</w:t>
      </w:r>
      <w:r w:rsidR="0034004F">
        <w:rPr>
          <w:rFonts w:ascii="Times New Roman" w:eastAsia="Times New Roman" w:hAnsi="Times New Roman" w:cs="Times New Roman"/>
          <w:b/>
          <w:color w:val="212121"/>
          <w:sz w:val="22"/>
          <w:szCs w:val="22"/>
          <w:shd w:val="clear" w:color="auto" w:fill="FFFFFF"/>
        </w:rPr>
        <w:t xml:space="preserve"> Analysis</w:t>
      </w:r>
    </w:p>
    <w:p w14:paraId="2BB8C701" w14:textId="3DC85C37" w:rsidR="0034004F" w:rsidRDefault="0034004F" w:rsidP="002D11CA">
      <w:pPr>
        <w:jc w:val="cente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Sindiso Nyathi and Nathan C. Lo</w:t>
      </w:r>
    </w:p>
    <w:p w14:paraId="1B3E3D74" w14:textId="4A8671FC" w:rsidR="0034004F" w:rsidRPr="006F7F69" w:rsidRDefault="0034004F" w:rsidP="002D11CA">
      <w:pPr>
        <w:jc w:val="cente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Stanford University</w:t>
      </w:r>
    </w:p>
    <w:p w14:paraId="322E6038" w14:textId="77777777" w:rsidR="000717A4" w:rsidRPr="00FE6B2B" w:rsidRDefault="000717A4" w:rsidP="000717A4">
      <w:pPr>
        <w:rPr>
          <w:rFonts w:ascii="Times New Roman" w:eastAsia="Times New Roman" w:hAnsi="Times New Roman" w:cs="Times New Roman"/>
          <w:color w:val="212121"/>
          <w:sz w:val="22"/>
          <w:szCs w:val="22"/>
          <w:shd w:val="clear" w:color="auto" w:fill="FFFFFF"/>
        </w:rPr>
      </w:pPr>
    </w:p>
    <w:p w14:paraId="596603FB" w14:textId="54C4E329" w:rsidR="000717A4" w:rsidRDefault="000717A4" w:rsidP="0030725D">
      <w:pPr>
        <w:rPr>
          <w:rFonts w:ascii="Times New Roman" w:eastAsia="Times New Roman" w:hAnsi="Times New Roman" w:cs="Times New Roman"/>
          <w:b/>
          <w:color w:val="212121"/>
          <w:sz w:val="22"/>
          <w:szCs w:val="22"/>
          <w:shd w:val="clear" w:color="auto" w:fill="FFFFFF"/>
        </w:rPr>
      </w:pPr>
      <w:r w:rsidRPr="002D11CA">
        <w:rPr>
          <w:rFonts w:ascii="Times New Roman" w:eastAsia="Times New Roman" w:hAnsi="Times New Roman" w:cs="Times New Roman"/>
          <w:b/>
          <w:color w:val="212121"/>
          <w:sz w:val="22"/>
          <w:szCs w:val="22"/>
          <w:shd w:val="clear" w:color="auto" w:fill="FFFFFF"/>
        </w:rPr>
        <w:t>Study Objective</w:t>
      </w:r>
    </w:p>
    <w:p w14:paraId="1C56A9DC" w14:textId="3610662F" w:rsidR="002D11CA" w:rsidRPr="002D11CA" w:rsidRDefault="002D11CA" w:rsidP="0030725D">
      <w:pPr>
        <w:rPr>
          <w:rFonts w:ascii="Times New Roman" w:eastAsia="Times New Roman" w:hAnsi="Times New Roman" w:cs="Times New Roman"/>
          <w:b/>
          <w:color w:val="212121"/>
          <w:sz w:val="22"/>
          <w:szCs w:val="22"/>
          <w:shd w:val="clear" w:color="auto" w:fill="FFFFFF"/>
        </w:rPr>
      </w:pPr>
    </w:p>
    <w:p w14:paraId="39B3A4E0" w14:textId="53640E40" w:rsidR="000717A4" w:rsidRDefault="000717A4" w:rsidP="0030725D">
      <w:pPr>
        <w:ind w:left="720"/>
        <w:jc w:val="both"/>
        <w:rPr>
          <w:rFonts w:ascii="Times New Roman" w:eastAsia="Times New Roman" w:hAnsi="Times New Roman" w:cs="Times New Roman"/>
          <w:color w:val="212121"/>
          <w:sz w:val="22"/>
          <w:szCs w:val="22"/>
          <w:shd w:val="clear" w:color="auto" w:fill="FFFFFF"/>
        </w:rPr>
      </w:pPr>
      <w:r w:rsidRPr="00FE6B2B">
        <w:rPr>
          <w:rFonts w:ascii="Times New Roman" w:eastAsia="Times New Roman" w:hAnsi="Times New Roman" w:cs="Times New Roman"/>
          <w:color w:val="212121"/>
          <w:sz w:val="22"/>
          <w:szCs w:val="22"/>
          <w:shd w:val="clear" w:color="auto" w:fill="FFFFFF"/>
        </w:rPr>
        <w:t>In July 2016</w:t>
      </w:r>
      <w:r w:rsidR="002835DB">
        <w:rPr>
          <w:rFonts w:ascii="Times New Roman" w:eastAsia="Times New Roman" w:hAnsi="Times New Roman" w:cs="Times New Roman"/>
          <w:color w:val="212121"/>
          <w:sz w:val="22"/>
          <w:szCs w:val="22"/>
          <w:shd w:val="clear" w:color="auto" w:fill="FFFFFF"/>
        </w:rPr>
        <w:t xml:space="preserve">, California </w:t>
      </w:r>
      <w:r w:rsidRPr="00FE6B2B">
        <w:rPr>
          <w:rFonts w:ascii="Times New Roman" w:eastAsia="Times New Roman" w:hAnsi="Times New Roman" w:cs="Times New Roman"/>
          <w:color w:val="212121"/>
          <w:sz w:val="22"/>
          <w:szCs w:val="22"/>
          <w:shd w:val="clear" w:color="auto" w:fill="FFFFFF"/>
        </w:rPr>
        <w:t>S</w:t>
      </w:r>
      <w:r w:rsidR="0030725D">
        <w:rPr>
          <w:rFonts w:ascii="Times New Roman" w:eastAsia="Times New Roman" w:hAnsi="Times New Roman" w:cs="Times New Roman"/>
          <w:color w:val="212121"/>
          <w:sz w:val="22"/>
          <w:szCs w:val="22"/>
          <w:shd w:val="clear" w:color="auto" w:fill="FFFFFF"/>
        </w:rPr>
        <w:t xml:space="preserve">enate </w:t>
      </w:r>
      <w:r w:rsidRPr="00FE6B2B">
        <w:rPr>
          <w:rFonts w:ascii="Times New Roman" w:eastAsia="Times New Roman" w:hAnsi="Times New Roman" w:cs="Times New Roman"/>
          <w:color w:val="212121"/>
          <w:sz w:val="22"/>
          <w:szCs w:val="22"/>
          <w:shd w:val="clear" w:color="auto" w:fill="FFFFFF"/>
        </w:rPr>
        <w:t>B</w:t>
      </w:r>
      <w:r w:rsidR="0030725D">
        <w:rPr>
          <w:rFonts w:ascii="Times New Roman" w:eastAsia="Times New Roman" w:hAnsi="Times New Roman" w:cs="Times New Roman"/>
          <w:color w:val="212121"/>
          <w:sz w:val="22"/>
          <w:szCs w:val="22"/>
          <w:shd w:val="clear" w:color="auto" w:fill="FFFFFF"/>
        </w:rPr>
        <w:t xml:space="preserve">ill </w:t>
      </w:r>
      <w:r w:rsidRPr="00FE6B2B">
        <w:rPr>
          <w:rFonts w:ascii="Times New Roman" w:eastAsia="Times New Roman" w:hAnsi="Times New Roman" w:cs="Times New Roman"/>
          <w:color w:val="212121"/>
          <w:sz w:val="22"/>
          <w:szCs w:val="22"/>
          <w:shd w:val="clear" w:color="auto" w:fill="FFFFFF"/>
        </w:rPr>
        <w:t>277</w:t>
      </w:r>
      <w:r w:rsidR="006F7F69">
        <w:rPr>
          <w:rFonts w:ascii="Times New Roman" w:eastAsia="Times New Roman" w:hAnsi="Times New Roman" w:cs="Times New Roman"/>
          <w:color w:val="212121"/>
          <w:sz w:val="22"/>
          <w:szCs w:val="22"/>
          <w:shd w:val="clear" w:color="auto" w:fill="FFFFFF"/>
        </w:rPr>
        <w:t xml:space="preserve"> (SB277)</w:t>
      </w:r>
      <w:r w:rsidR="002835DB">
        <w:rPr>
          <w:rFonts w:ascii="Times New Roman" w:eastAsia="Times New Roman" w:hAnsi="Times New Roman" w:cs="Times New Roman"/>
          <w:color w:val="212121"/>
          <w:sz w:val="22"/>
          <w:szCs w:val="22"/>
          <w:shd w:val="clear" w:color="auto" w:fill="FFFFFF"/>
        </w:rPr>
        <w:t xml:space="preserve"> </w:t>
      </w:r>
      <w:r w:rsidRPr="00FE6B2B">
        <w:rPr>
          <w:rFonts w:ascii="Times New Roman" w:eastAsia="Times New Roman" w:hAnsi="Times New Roman" w:cs="Times New Roman"/>
          <w:color w:val="212121"/>
          <w:sz w:val="22"/>
          <w:szCs w:val="22"/>
          <w:shd w:val="clear" w:color="auto" w:fill="FFFFFF"/>
        </w:rPr>
        <w:t>eliminate</w:t>
      </w:r>
      <w:r w:rsidR="002835DB">
        <w:rPr>
          <w:rFonts w:ascii="Times New Roman" w:eastAsia="Times New Roman" w:hAnsi="Times New Roman" w:cs="Times New Roman"/>
          <w:color w:val="212121"/>
          <w:sz w:val="22"/>
          <w:szCs w:val="22"/>
          <w:shd w:val="clear" w:color="auto" w:fill="FFFFFF"/>
        </w:rPr>
        <w:t xml:space="preserve">d </w:t>
      </w:r>
      <w:r w:rsidRPr="00FE6B2B">
        <w:rPr>
          <w:rFonts w:ascii="Times New Roman" w:eastAsia="Times New Roman" w:hAnsi="Times New Roman" w:cs="Times New Roman"/>
          <w:color w:val="212121"/>
          <w:sz w:val="22"/>
          <w:szCs w:val="22"/>
          <w:shd w:val="clear" w:color="auto" w:fill="FFFFFF"/>
        </w:rPr>
        <w:t>personal belief</w:t>
      </w:r>
      <w:r w:rsidR="0030725D">
        <w:rPr>
          <w:rFonts w:ascii="Times New Roman" w:eastAsia="Times New Roman" w:hAnsi="Times New Roman" w:cs="Times New Roman"/>
          <w:color w:val="212121"/>
          <w:sz w:val="22"/>
          <w:szCs w:val="22"/>
          <w:shd w:val="clear" w:color="auto" w:fill="FFFFFF"/>
        </w:rPr>
        <w:t xml:space="preserve"> </w:t>
      </w:r>
      <w:r w:rsidRPr="00FE6B2B">
        <w:rPr>
          <w:rFonts w:ascii="Times New Roman" w:eastAsia="Times New Roman" w:hAnsi="Times New Roman" w:cs="Times New Roman"/>
          <w:color w:val="212121"/>
          <w:sz w:val="22"/>
          <w:szCs w:val="22"/>
          <w:shd w:val="clear" w:color="auto" w:fill="FFFFFF"/>
        </w:rPr>
        <w:t xml:space="preserve">exemptions </w:t>
      </w:r>
      <w:r w:rsidR="00C74F32">
        <w:rPr>
          <w:rFonts w:ascii="Times New Roman" w:eastAsia="Times New Roman" w:hAnsi="Times New Roman" w:cs="Times New Roman"/>
          <w:color w:val="212121"/>
          <w:sz w:val="22"/>
          <w:szCs w:val="22"/>
          <w:shd w:val="clear" w:color="auto" w:fill="FFFFFF"/>
        </w:rPr>
        <w:t>from</w:t>
      </w:r>
      <w:r w:rsidR="002835DB" w:rsidRPr="00FE6B2B">
        <w:rPr>
          <w:rFonts w:ascii="Times New Roman" w:eastAsia="Times New Roman" w:hAnsi="Times New Roman" w:cs="Times New Roman"/>
          <w:color w:val="212121"/>
          <w:sz w:val="22"/>
          <w:szCs w:val="22"/>
          <w:shd w:val="clear" w:color="auto" w:fill="FFFFFF"/>
        </w:rPr>
        <w:t xml:space="preserve"> </w:t>
      </w:r>
      <w:r w:rsidRPr="00FE6B2B">
        <w:rPr>
          <w:rFonts w:ascii="Times New Roman" w:eastAsia="Times New Roman" w:hAnsi="Times New Roman" w:cs="Times New Roman"/>
          <w:color w:val="212121"/>
          <w:sz w:val="22"/>
          <w:szCs w:val="22"/>
          <w:shd w:val="clear" w:color="auto" w:fill="FFFFFF"/>
        </w:rPr>
        <w:t>immunization for children in childcare and public/private schools</w:t>
      </w:r>
      <w:r w:rsidR="006E06F3">
        <w:rPr>
          <w:rFonts w:ascii="Times New Roman" w:eastAsia="Times New Roman" w:hAnsi="Times New Roman" w:cs="Times New Roman"/>
          <w:color w:val="212121"/>
          <w:sz w:val="22"/>
          <w:szCs w:val="22"/>
          <w:shd w:val="clear" w:color="auto" w:fill="FFFFFF"/>
        </w:rPr>
        <w:t>.</w:t>
      </w:r>
      <w:r w:rsidR="00156B65">
        <w:rPr>
          <w:rFonts w:ascii="Times New Roman" w:eastAsia="Times New Roman" w:hAnsi="Times New Roman" w:cs="Times New Roman"/>
          <w:color w:val="212121"/>
          <w:sz w:val="22"/>
          <w:szCs w:val="22"/>
          <w:shd w:val="clear" w:color="auto" w:fill="FFFFFF"/>
        </w:rPr>
        <w:fldChar w:fldCharType="begin" w:fldLock="1"/>
      </w:r>
      <w:r w:rsidR="00156B65">
        <w:rPr>
          <w:rFonts w:ascii="Times New Roman" w:eastAsia="Times New Roman" w:hAnsi="Times New Roman" w:cs="Times New Roman"/>
          <w:color w:val="212121"/>
          <w:sz w:val="22"/>
          <w:szCs w:val="22"/>
          <w:shd w:val="clear" w:color="auto" w:fill="FFFFFF"/>
        </w:rPr>
        <w:instrText>ADDIN CSL_CITATION {"citationItems":[{"id":"ITEM-1","itemData":{"author":[{"dropping-particle":"","family":"Pan","given":"Richard","non-dropping-particle":"","parse-names":false,"suffix":""},{"dropping-particle":"","family":"Allen","given":"Ben","non-dropping-particle":"","parse-names":false,"suffix":""}],"id":"ITEM-1","issue":"100","issued":{"date-parts":[["2018"]]},"page":"1-5","title":"Senate Bill No. 277","type":"bill"},"uris":["http://www.mendeley.com/documents/?uuid=3c543749-49f0-452a-b009-f57763de6478"]}],"mendeley":{"formattedCitation":"&lt;sup&gt;1&lt;/sup&gt;","plainTextFormattedCitation":"1","previouslyFormattedCitation":"&lt;sup&gt;1&lt;/sup&gt;"},"properties":{"noteIndex":0},"schema":"https://github.com/citation-style-language/schema/raw/master/csl-citation.json"}</w:instrText>
      </w:r>
      <w:r w:rsidR="00156B65">
        <w:rPr>
          <w:rFonts w:ascii="Times New Roman" w:eastAsia="Times New Roman" w:hAnsi="Times New Roman" w:cs="Times New Roman"/>
          <w:color w:val="212121"/>
          <w:sz w:val="22"/>
          <w:szCs w:val="22"/>
          <w:shd w:val="clear" w:color="auto" w:fill="FFFFFF"/>
        </w:rPr>
        <w:fldChar w:fldCharType="separate"/>
      </w:r>
      <w:r w:rsidR="00156B65" w:rsidRPr="00156B65">
        <w:rPr>
          <w:rFonts w:ascii="Times New Roman" w:eastAsia="Times New Roman" w:hAnsi="Times New Roman" w:cs="Times New Roman"/>
          <w:noProof/>
          <w:color w:val="212121"/>
          <w:sz w:val="22"/>
          <w:szCs w:val="22"/>
          <w:shd w:val="clear" w:color="auto" w:fill="FFFFFF"/>
          <w:vertAlign w:val="superscript"/>
        </w:rPr>
        <w:t>1</w:t>
      </w:r>
      <w:r w:rsidR="00156B65">
        <w:rPr>
          <w:rFonts w:ascii="Times New Roman" w:eastAsia="Times New Roman" w:hAnsi="Times New Roman" w:cs="Times New Roman"/>
          <w:color w:val="212121"/>
          <w:sz w:val="22"/>
          <w:szCs w:val="22"/>
          <w:shd w:val="clear" w:color="auto" w:fill="FFFFFF"/>
        </w:rPr>
        <w:fldChar w:fldCharType="end"/>
      </w:r>
      <w:r w:rsidR="00156B65">
        <w:rPr>
          <w:rFonts w:ascii="Times New Roman" w:eastAsia="Times New Roman" w:hAnsi="Times New Roman" w:cs="Times New Roman"/>
          <w:color w:val="212121"/>
          <w:sz w:val="22"/>
          <w:szCs w:val="22"/>
          <w:shd w:val="clear" w:color="auto" w:fill="FFFFFF"/>
        </w:rPr>
        <w:t xml:space="preserve"> </w:t>
      </w:r>
      <w:r w:rsidRPr="00FE6B2B">
        <w:rPr>
          <w:rFonts w:ascii="Times New Roman" w:eastAsia="Times New Roman" w:hAnsi="Times New Roman" w:cs="Times New Roman"/>
          <w:color w:val="212121"/>
          <w:sz w:val="22"/>
          <w:szCs w:val="22"/>
          <w:shd w:val="clear" w:color="auto" w:fill="FFFFFF"/>
        </w:rPr>
        <w:t>The goal of this analysi</w:t>
      </w:r>
      <w:r w:rsidR="00C74F32">
        <w:rPr>
          <w:rFonts w:ascii="Times New Roman" w:eastAsia="Times New Roman" w:hAnsi="Times New Roman" w:cs="Times New Roman"/>
          <w:color w:val="212121"/>
          <w:sz w:val="22"/>
          <w:szCs w:val="22"/>
          <w:shd w:val="clear" w:color="auto" w:fill="FFFFFF"/>
        </w:rPr>
        <w:t>s is to</w:t>
      </w:r>
      <w:r w:rsidR="001456BD">
        <w:rPr>
          <w:rFonts w:ascii="Times New Roman" w:eastAsia="Times New Roman" w:hAnsi="Times New Roman" w:cs="Times New Roman"/>
          <w:color w:val="212121"/>
          <w:sz w:val="22"/>
          <w:szCs w:val="22"/>
          <w:shd w:val="clear" w:color="auto" w:fill="FFFFFF"/>
        </w:rPr>
        <w:t xml:space="preserve"> </w:t>
      </w:r>
      <w:r w:rsidRPr="00FE6B2B">
        <w:rPr>
          <w:rFonts w:ascii="Times New Roman" w:eastAsia="Times New Roman" w:hAnsi="Times New Roman" w:cs="Times New Roman"/>
          <w:color w:val="212121"/>
          <w:sz w:val="22"/>
          <w:szCs w:val="22"/>
          <w:shd w:val="clear" w:color="auto" w:fill="FFFFFF"/>
        </w:rPr>
        <w:t xml:space="preserve">examine the </w:t>
      </w:r>
      <w:r w:rsidR="002835DB">
        <w:rPr>
          <w:rFonts w:ascii="Times New Roman" w:eastAsia="Times New Roman" w:hAnsi="Times New Roman" w:cs="Times New Roman"/>
          <w:color w:val="212121"/>
          <w:sz w:val="22"/>
          <w:szCs w:val="22"/>
          <w:shd w:val="clear" w:color="auto" w:fill="FFFFFF"/>
        </w:rPr>
        <w:t>relationship between</w:t>
      </w:r>
      <w:r w:rsidR="002835DB" w:rsidRPr="00FE6B2B">
        <w:rPr>
          <w:rFonts w:ascii="Times New Roman" w:eastAsia="Times New Roman" w:hAnsi="Times New Roman" w:cs="Times New Roman"/>
          <w:color w:val="212121"/>
          <w:sz w:val="22"/>
          <w:szCs w:val="22"/>
          <w:shd w:val="clear" w:color="auto" w:fill="FFFFFF"/>
        </w:rPr>
        <w:t xml:space="preserve"> </w:t>
      </w:r>
      <w:r w:rsidRPr="00FE6B2B">
        <w:rPr>
          <w:rFonts w:ascii="Times New Roman" w:eastAsia="Times New Roman" w:hAnsi="Times New Roman" w:cs="Times New Roman"/>
          <w:color w:val="212121"/>
          <w:sz w:val="22"/>
          <w:szCs w:val="22"/>
          <w:shd w:val="clear" w:color="auto" w:fill="FFFFFF"/>
        </w:rPr>
        <w:t xml:space="preserve">SB277 </w:t>
      </w:r>
      <w:r w:rsidR="002835DB">
        <w:rPr>
          <w:rFonts w:ascii="Times New Roman" w:eastAsia="Times New Roman" w:hAnsi="Times New Roman" w:cs="Times New Roman"/>
          <w:color w:val="212121"/>
          <w:sz w:val="22"/>
          <w:szCs w:val="22"/>
          <w:shd w:val="clear" w:color="auto" w:fill="FFFFFF"/>
        </w:rPr>
        <w:t>and</w:t>
      </w:r>
      <w:r w:rsidRPr="00FE6B2B">
        <w:rPr>
          <w:rFonts w:ascii="Times New Roman" w:eastAsia="Times New Roman" w:hAnsi="Times New Roman" w:cs="Times New Roman"/>
          <w:color w:val="212121"/>
          <w:sz w:val="22"/>
          <w:szCs w:val="22"/>
          <w:shd w:val="clear" w:color="auto" w:fill="FFFFFF"/>
        </w:rPr>
        <w:t xml:space="preserve"> vaccin</w:t>
      </w:r>
      <w:r w:rsidR="0030725D">
        <w:rPr>
          <w:rFonts w:ascii="Times New Roman" w:eastAsia="Times New Roman" w:hAnsi="Times New Roman" w:cs="Times New Roman"/>
          <w:color w:val="212121"/>
          <w:sz w:val="22"/>
          <w:szCs w:val="22"/>
          <w:shd w:val="clear" w:color="auto" w:fill="FFFFFF"/>
        </w:rPr>
        <w:t>ation</w:t>
      </w:r>
      <w:r w:rsidRPr="00FE6B2B">
        <w:rPr>
          <w:rFonts w:ascii="Times New Roman" w:eastAsia="Times New Roman" w:hAnsi="Times New Roman" w:cs="Times New Roman"/>
          <w:color w:val="212121"/>
          <w:sz w:val="22"/>
          <w:szCs w:val="22"/>
          <w:shd w:val="clear" w:color="auto" w:fill="FFFFFF"/>
        </w:rPr>
        <w:t xml:space="preserve"> coverage in</w:t>
      </w:r>
      <w:r w:rsidR="00550983">
        <w:rPr>
          <w:rFonts w:ascii="Times New Roman" w:eastAsia="Times New Roman" w:hAnsi="Times New Roman" w:cs="Times New Roman"/>
          <w:color w:val="212121"/>
          <w:sz w:val="22"/>
          <w:szCs w:val="22"/>
          <w:shd w:val="clear" w:color="auto" w:fill="FFFFFF"/>
        </w:rPr>
        <w:t xml:space="preserve"> k</w:t>
      </w:r>
      <w:r w:rsidRPr="00FE6B2B">
        <w:rPr>
          <w:rFonts w:ascii="Times New Roman" w:eastAsia="Times New Roman" w:hAnsi="Times New Roman" w:cs="Times New Roman"/>
          <w:color w:val="212121"/>
          <w:sz w:val="22"/>
          <w:szCs w:val="22"/>
          <w:shd w:val="clear" w:color="auto" w:fill="FFFFFF"/>
        </w:rPr>
        <w:t>indergarten</w:t>
      </w:r>
      <w:r w:rsidR="00550983">
        <w:rPr>
          <w:rFonts w:ascii="Times New Roman" w:eastAsia="Times New Roman" w:hAnsi="Times New Roman" w:cs="Times New Roman"/>
          <w:color w:val="212121"/>
          <w:sz w:val="22"/>
          <w:szCs w:val="22"/>
          <w:shd w:val="clear" w:color="auto" w:fill="FFFFFF"/>
        </w:rPr>
        <w:t>ers</w:t>
      </w:r>
      <w:r w:rsidR="001456BD">
        <w:rPr>
          <w:rFonts w:ascii="Times New Roman" w:eastAsia="Times New Roman" w:hAnsi="Times New Roman" w:cs="Times New Roman"/>
          <w:color w:val="212121"/>
          <w:sz w:val="22"/>
          <w:szCs w:val="22"/>
          <w:shd w:val="clear" w:color="auto" w:fill="FFFFFF"/>
        </w:rPr>
        <w:t xml:space="preserve"> via a Synthetic Control Analysi</w:t>
      </w:r>
      <w:r w:rsidR="006E06F3">
        <w:rPr>
          <w:rFonts w:ascii="Times New Roman" w:eastAsia="Times New Roman" w:hAnsi="Times New Roman" w:cs="Times New Roman"/>
          <w:color w:val="212121"/>
          <w:sz w:val="22"/>
          <w:szCs w:val="22"/>
          <w:shd w:val="clear" w:color="auto" w:fill="FFFFFF"/>
        </w:rPr>
        <w:t>s</w:t>
      </w:r>
      <w:r w:rsidR="001456BD">
        <w:rPr>
          <w:rFonts w:ascii="Times New Roman" w:eastAsia="Times New Roman" w:hAnsi="Times New Roman" w:cs="Times New Roman"/>
          <w:color w:val="212121"/>
          <w:sz w:val="22"/>
          <w:szCs w:val="22"/>
          <w:shd w:val="clear" w:color="auto" w:fill="FFFFFF"/>
        </w:rPr>
        <w:t>.</w:t>
      </w:r>
      <w:r w:rsidRPr="00FE6B2B">
        <w:rPr>
          <w:rFonts w:ascii="Times New Roman" w:eastAsia="Times New Roman" w:hAnsi="Times New Roman" w:cs="Times New Roman"/>
          <w:color w:val="212121"/>
          <w:sz w:val="22"/>
          <w:szCs w:val="22"/>
          <w:shd w:val="clear" w:color="auto" w:fill="FFFFFF"/>
        </w:rPr>
        <w:t xml:space="preserve"> </w:t>
      </w:r>
    </w:p>
    <w:p w14:paraId="40839720" w14:textId="1349735B" w:rsidR="00EC287C" w:rsidRDefault="00EC287C" w:rsidP="0030725D">
      <w:pPr>
        <w:ind w:left="720"/>
        <w:jc w:val="both"/>
        <w:rPr>
          <w:rFonts w:ascii="Times New Roman" w:eastAsia="Times New Roman" w:hAnsi="Times New Roman" w:cs="Times New Roman"/>
          <w:color w:val="212121"/>
          <w:sz w:val="22"/>
          <w:szCs w:val="22"/>
          <w:shd w:val="clear" w:color="auto" w:fill="FFFFFF"/>
        </w:rPr>
      </w:pPr>
    </w:p>
    <w:p w14:paraId="0808E272" w14:textId="77777777" w:rsidR="00EC287C" w:rsidRDefault="00EC287C" w:rsidP="00EC287C">
      <w:pPr>
        <w:rPr>
          <w:rFonts w:ascii="Times New Roman" w:eastAsia="Times New Roman" w:hAnsi="Times New Roman" w:cs="Times New Roman"/>
          <w:b/>
          <w:color w:val="212121"/>
          <w:sz w:val="22"/>
          <w:szCs w:val="22"/>
          <w:shd w:val="clear" w:color="auto" w:fill="FFFFFF"/>
        </w:rPr>
      </w:pPr>
      <w:r w:rsidRPr="002D11CA">
        <w:rPr>
          <w:rFonts w:ascii="Times New Roman" w:eastAsia="Times New Roman" w:hAnsi="Times New Roman" w:cs="Times New Roman"/>
          <w:b/>
          <w:color w:val="212121"/>
          <w:sz w:val="22"/>
          <w:szCs w:val="22"/>
          <w:shd w:val="clear" w:color="auto" w:fill="FFFFFF"/>
        </w:rPr>
        <w:t>Data and Outcomes</w:t>
      </w:r>
    </w:p>
    <w:p w14:paraId="57E3E270" w14:textId="77777777" w:rsidR="00EC287C" w:rsidRPr="002D11CA" w:rsidRDefault="00EC287C" w:rsidP="00EC287C">
      <w:pPr>
        <w:rPr>
          <w:rFonts w:ascii="Times New Roman" w:eastAsia="Times New Roman" w:hAnsi="Times New Roman" w:cs="Times New Roman"/>
          <w:b/>
          <w:color w:val="212121"/>
          <w:sz w:val="22"/>
          <w:szCs w:val="22"/>
          <w:shd w:val="clear" w:color="auto" w:fill="FFFFFF"/>
        </w:rPr>
      </w:pPr>
    </w:p>
    <w:p w14:paraId="5C72D746" w14:textId="0CEF59CB" w:rsidR="00EC287C" w:rsidRDefault="00EC287C" w:rsidP="00EC287C">
      <w:pPr>
        <w:ind w:left="720"/>
        <w:jc w:val="both"/>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The primary outcome of the study is the state-level vaccine coverage for the MMR vaccine in kindergarteners. We defined two secondary outcomes: 1) percentage of kindergartners with Any Exemption (indicative of the prevalence non-medical or “personal belief” exemptions); and 2) percentage of kindergartners receiving Medical Exemptions.</w:t>
      </w:r>
    </w:p>
    <w:p w14:paraId="3CB98A8C" w14:textId="77777777" w:rsidR="00EC287C" w:rsidRDefault="00EC287C" w:rsidP="00EC287C">
      <w:pPr>
        <w:ind w:left="720"/>
        <w:jc w:val="both"/>
        <w:rPr>
          <w:rFonts w:ascii="Times New Roman" w:eastAsia="Times New Roman" w:hAnsi="Times New Roman" w:cs="Times New Roman"/>
          <w:color w:val="212121"/>
          <w:sz w:val="22"/>
          <w:szCs w:val="22"/>
          <w:shd w:val="clear" w:color="auto" w:fill="FFFFFF"/>
        </w:rPr>
      </w:pPr>
    </w:p>
    <w:p w14:paraId="51B8776E" w14:textId="067080A4" w:rsidR="00AF1DA6" w:rsidRDefault="00AF1DA6" w:rsidP="00AF1DA6">
      <w:pPr>
        <w:ind w:left="720"/>
        <w:jc w:val="both"/>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State level v</w:t>
      </w:r>
      <w:r w:rsidR="00EC287C" w:rsidRPr="00FE6B2B">
        <w:rPr>
          <w:rFonts w:ascii="Times New Roman" w:eastAsia="Times New Roman" w:hAnsi="Times New Roman" w:cs="Times New Roman"/>
          <w:color w:val="212121"/>
          <w:sz w:val="22"/>
          <w:szCs w:val="22"/>
          <w:shd w:val="clear" w:color="auto" w:fill="FFFFFF"/>
        </w:rPr>
        <w:t xml:space="preserve">accine </w:t>
      </w:r>
      <w:r>
        <w:rPr>
          <w:rFonts w:ascii="Times New Roman" w:eastAsia="Times New Roman" w:hAnsi="Times New Roman" w:cs="Times New Roman"/>
          <w:color w:val="212121"/>
          <w:sz w:val="22"/>
          <w:szCs w:val="22"/>
          <w:shd w:val="clear" w:color="auto" w:fill="FFFFFF"/>
        </w:rPr>
        <w:t>c</w:t>
      </w:r>
      <w:r w:rsidR="00EC287C" w:rsidRPr="00FE6B2B">
        <w:rPr>
          <w:rFonts w:ascii="Times New Roman" w:eastAsia="Times New Roman" w:hAnsi="Times New Roman" w:cs="Times New Roman"/>
          <w:color w:val="212121"/>
          <w:sz w:val="22"/>
          <w:szCs w:val="22"/>
          <w:shd w:val="clear" w:color="auto" w:fill="FFFFFF"/>
        </w:rPr>
        <w:t xml:space="preserve">overage data </w:t>
      </w:r>
      <w:r w:rsidR="00EC287C">
        <w:rPr>
          <w:rFonts w:ascii="Times New Roman" w:eastAsia="Times New Roman" w:hAnsi="Times New Roman" w:cs="Times New Roman"/>
          <w:color w:val="212121"/>
          <w:sz w:val="22"/>
          <w:szCs w:val="22"/>
          <w:shd w:val="clear" w:color="auto" w:fill="FFFFFF"/>
        </w:rPr>
        <w:t xml:space="preserve">for </w:t>
      </w:r>
      <w:r>
        <w:rPr>
          <w:rFonts w:ascii="Times New Roman" w:eastAsia="Times New Roman" w:hAnsi="Times New Roman" w:cs="Times New Roman"/>
          <w:color w:val="212121"/>
          <w:sz w:val="22"/>
          <w:szCs w:val="22"/>
          <w:shd w:val="clear" w:color="auto" w:fill="FFFFFF"/>
        </w:rPr>
        <w:t xml:space="preserve">the </w:t>
      </w:r>
      <w:r w:rsidR="00EC287C">
        <w:rPr>
          <w:rFonts w:ascii="Times New Roman" w:eastAsia="Times New Roman" w:hAnsi="Times New Roman" w:cs="Times New Roman"/>
          <w:color w:val="212121"/>
          <w:sz w:val="22"/>
          <w:szCs w:val="22"/>
          <w:shd w:val="clear" w:color="auto" w:fill="FFFFFF"/>
        </w:rPr>
        <w:t>201</w:t>
      </w:r>
      <w:r>
        <w:rPr>
          <w:rFonts w:ascii="Times New Roman" w:eastAsia="Times New Roman" w:hAnsi="Times New Roman" w:cs="Times New Roman"/>
          <w:color w:val="212121"/>
          <w:sz w:val="22"/>
          <w:szCs w:val="22"/>
          <w:shd w:val="clear" w:color="auto" w:fill="FFFFFF"/>
        </w:rPr>
        <w:t>1/12</w:t>
      </w:r>
      <w:r w:rsidR="00EC287C">
        <w:rPr>
          <w:rFonts w:ascii="Times New Roman" w:eastAsia="Times New Roman" w:hAnsi="Times New Roman" w:cs="Times New Roman"/>
          <w:color w:val="212121"/>
          <w:sz w:val="22"/>
          <w:szCs w:val="22"/>
          <w:shd w:val="clear" w:color="auto" w:fill="FFFFFF"/>
        </w:rPr>
        <w:t xml:space="preserve"> to 2017</w:t>
      </w:r>
      <w:r>
        <w:rPr>
          <w:rFonts w:ascii="Times New Roman" w:eastAsia="Times New Roman" w:hAnsi="Times New Roman" w:cs="Times New Roman"/>
          <w:color w:val="212121"/>
          <w:sz w:val="22"/>
          <w:szCs w:val="22"/>
          <w:shd w:val="clear" w:color="auto" w:fill="FFFFFF"/>
        </w:rPr>
        <w:t>/18 school years</w:t>
      </w:r>
      <w:r w:rsidR="00EC287C">
        <w:rPr>
          <w:rFonts w:ascii="Times New Roman" w:eastAsia="Times New Roman" w:hAnsi="Times New Roman" w:cs="Times New Roman"/>
          <w:color w:val="212121"/>
          <w:sz w:val="22"/>
          <w:szCs w:val="22"/>
          <w:shd w:val="clear" w:color="auto" w:fill="FFFFFF"/>
        </w:rPr>
        <w:t xml:space="preserve"> was retrieved </w:t>
      </w:r>
      <w:r w:rsidR="00EC287C" w:rsidRPr="00FE6B2B">
        <w:rPr>
          <w:rFonts w:ascii="Times New Roman" w:eastAsia="Times New Roman" w:hAnsi="Times New Roman" w:cs="Times New Roman"/>
          <w:color w:val="212121"/>
          <w:sz w:val="22"/>
          <w:szCs w:val="22"/>
          <w:shd w:val="clear" w:color="auto" w:fill="FFFFFF"/>
        </w:rPr>
        <w:t>from the CDC</w:t>
      </w:r>
      <w:r w:rsidR="00EC287C">
        <w:rPr>
          <w:rFonts w:ascii="Times New Roman" w:eastAsia="Times New Roman" w:hAnsi="Times New Roman" w:cs="Times New Roman"/>
          <w:color w:val="212121"/>
          <w:sz w:val="22"/>
          <w:szCs w:val="22"/>
          <w:shd w:val="clear" w:color="auto" w:fill="FFFFFF"/>
        </w:rPr>
        <w:t xml:space="preserve">’s </w:t>
      </w:r>
      <w:proofErr w:type="spellStart"/>
      <w:r w:rsidR="00EC287C">
        <w:rPr>
          <w:rFonts w:ascii="Times New Roman" w:eastAsia="Times New Roman" w:hAnsi="Times New Roman" w:cs="Times New Roman"/>
          <w:color w:val="212121"/>
          <w:sz w:val="22"/>
          <w:szCs w:val="22"/>
          <w:shd w:val="clear" w:color="auto" w:fill="FFFFFF"/>
        </w:rPr>
        <w:t>VaxView</w:t>
      </w:r>
      <w:proofErr w:type="spellEnd"/>
      <w:r w:rsidR="00EC287C">
        <w:rPr>
          <w:rFonts w:ascii="Times New Roman" w:eastAsia="Times New Roman" w:hAnsi="Times New Roman" w:cs="Times New Roman"/>
          <w:color w:val="212121"/>
          <w:sz w:val="22"/>
          <w:szCs w:val="22"/>
          <w:shd w:val="clear" w:color="auto" w:fill="FFFFFF"/>
        </w:rPr>
        <w:t xml:space="preserve"> website</w:t>
      </w:r>
      <w:r>
        <w:rPr>
          <w:rFonts w:ascii="Times New Roman" w:eastAsia="Times New Roman" w:hAnsi="Times New Roman" w:cs="Times New Roman"/>
          <w:color w:val="212121"/>
          <w:sz w:val="22"/>
          <w:szCs w:val="22"/>
          <w:shd w:val="clear" w:color="auto" w:fill="FFFFFF"/>
        </w:rPr>
        <w:t>.</w:t>
      </w:r>
      <w:r w:rsidR="00EC287C">
        <w:rPr>
          <w:rFonts w:ascii="Times New Roman" w:eastAsia="Times New Roman" w:hAnsi="Times New Roman" w:cs="Times New Roman"/>
          <w:color w:val="212121"/>
          <w:sz w:val="22"/>
          <w:szCs w:val="22"/>
          <w:shd w:val="clear" w:color="auto" w:fill="FFFFFF"/>
        </w:rPr>
        <w:fldChar w:fldCharType="begin" w:fldLock="1"/>
      </w:r>
      <w:r w:rsidR="00EC287C">
        <w:rPr>
          <w:rFonts w:ascii="Times New Roman" w:eastAsia="Times New Roman" w:hAnsi="Times New Roman" w:cs="Times New Roman"/>
          <w:color w:val="212121"/>
          <w:sz w:val="22"/>
          <w:szCs w:val="22"/>
          <w:shd w:val="clear" w:color="auto" w:fill="FFFFFF"/>
        </w:rPr>
        <w:instrText>ADDIN CSL_CITATION {"citationItems":[{"id":"ITEM-1","itemData":{"URL":"https://www.cdc.gov/vaccines/vaxview/index.html","abstract":"The VaxView websites provide vaccination coverage data for all ages. Monitoring coverage for recommended vaccinations across the country helps CDC assess how well local areas, states, and the nation are protected from vaccine-preventable diseases.","accessed":{"date-parts":[["2018","11","27"]]},"author":[{"dropping-particle":"","family":"CDC","given":"","non-dropping-particle":"","parse-names":false,"suffix":""}],"container-title":"October 6, 2016","id":"ITEM-1","issued":{"date-parts":[["0"]]},"title":"VaxView | Vaccination Coverage | NIS | Home | CDC","type":"webpage"},"uris":["http://www.mendeley.com/documents/?uuid=0d16af8b-8e07-35e2-962b-6da601c601a4"]}],"mendeley":{"formattedCitation":"&lt;sup&gt;8&lt;/sup&gt;","plainTextFormattedCitation":"8","previouslyFormattedCitation":"&lt;sup&gt;8&lt;/sup&gt;"},"properties":{"noteIndex":0},"schema":"https://github.com/citation-style-language/schema/raw/master/csl-citation.json"}</w:instrText>
      </w:r>
      <w:r w:rsidR="00EC287C">
        <w:rPr>
          <w:rFonts w:ascii="Times New Roman" w:eastAsia="Times New Roman" w:hAnsi="Times New Roman" w:cs="Times New Roman"/>
          <w:color w:val="212121"/>
          <w:sz w:val="22"/>
          <w:szCs w:val="22"/>
          <w:shd w:val="clear" w:color="auto" w:fill="FFFFFF"/>
        </w:rPr>
        <w:fldChar w:fldCharType="separate"/>
      </w:r>
      <w:r w:rsidR="00EC287C" w:rsidRPr="00F04CCD">
        <w:rPr>
          <w:rFonts w:ascii="Times New Roman" w:eastAsia="Times New Roman" w:hAnsi="Times New Roman" w:cs="Times New Roman"/>
          <w:noProof/>
          <w:color w:val="212121"/>
          <w:sz w:val="22"/>
          <w:szCs w:val="22"/>
          <w:shd w:val="clear" w:color="auto" w:fill="FFFFFF"/>
          <w:vertAlign w:val="superscript"/>
        </w:rPr>
        <w:t>8</w:t>
      </w:r>
      <w:r w:rsidR="00EC287C">
        <w:rPr>
          <w:rFonts w:ascii="Times New Roman" w:eastAsia="Times New Roman" w:hAnsi="Times New Roman" w:cs="Times New Roman"/>
          <w:color w:val="212121"/>
          <w:sz w:val="22"/>
          <w:szCs w:val="22"/>
          <w:shd w:val="clear" w:color="auto" w:fill="FFFFFF"/>
        </w:rPr>
        <w:fldChar w:fldCharType="end"/>
      </w:r>
      <w:r w:rsidR="00EC287C">
        <w:rPr>
          <w:rFonts w:ascii="Times New Roman" w:eastAsia="Times New Roman" w:hAnsi="Times New Roman" w:cs="Times New Roman"/>
          <w:color w:val="212121"/>
          <w:sz w:val="22"/>
          <w:szCs w:val="22"/>
          <w:shd w:val="clear" w:color="auto" w:fill="FFFFFF"/>
        </w:rPr>
        <w:t xml:space="preserve"> SB277 came into effect in the 2016</w:t>
      </w:r>
      <w:r>
        <w:rPr>
          <w:rFonts w:ascii="Times New Roman" w:eastAsia="Times New Roman" w:hAnsi="Times New Roman" w:cs="Times New Roman"/>
          <w:color w:val="212121"/>
          <w:sz w:val="22"/>
          <w:szCs w:val="22"/>
          <w:shd w:val="clear" w:color="auto" w:fill="FFFFFF"/>
        </w:rPr>
        <w:t>/</w:t>
      </w:r>
      <w:r w:rsidR="00EC287C">
        <w:rPr>
          <w:rFonts w:ascii="Times New Roman" w:eastAsia="Times New Roman" w:hAnsi="Times New Roman" w:cs="Times New Roman"/>
          <w:color w:val="212121"/>
          <w:sz w:val="22"/>
          <w:szCs w:val="22"/>
          <w:shd w:val="clear" w:color="auto" w:fill="FFFFFF"/>
        </w:rPr>
        <w:t xml:space="preserve">17 school year. </w:t>
      </w:r>
      <w:r>
        <w:rPr>
          <w:rFonts w:ascii="Times New Roman" w:eastAsia="Times New Roman" w:hAnsi="Times New Roman" w:cs="Times New Roman"/>
          <w:color w:val="212121"/>
          <w:sz w:val="22"/>
          <w:szCs w:val="22"/>
          <w:shd w:val="clear" w:color="auto" w:fill="FFFFFF"/>
        </w:rPr>
        <w:t>V</w:t>
      </w:r>
      <w:r w:rsidR="00EC287C">
        <w:rPr>
          <w:rFonts w:ascii="Times New Roman" w:eastAsia="Times New Roman" w:hAnsi="Times New Roman" w:cs="Times New Roman"/>
          <w:color w:val="212121"/>
          <w:sz w:val="22"/>
          <w:szCs w:val="22"/>
          <w:shd w:val="clear" w:color="auto" w:fill="FFFFFF"/>
        </w:rPr>
        <w:t>accine coverage data for the 2011</w:t>
      </w:r>
      <w:r>
        <w:rPr>
          <w:rFonts w:ascii="Times New Roman" w:eastAsia="Times New Roman" w:hAnsi="Times New Roman" w:cs="Times New Roman"/>
          <w:color w:val="212121"/>
          <w:sz w:val="22"/>
          <w:szCs w:val="22"/>
          <w:shd w:val="clear" w:color="auto" w:fill="FFFFFF"/>
        </w:rPr>
        <w:t>/12</w:t>
      </w:r>
      <w:r w:rsidR="00EC287C">
        <w:rPr>
          <w:rFonts w:ascii="Times New Roman" w:eastAsia="Times New Roman" w:hAnsi="Times New Roman" w:cs="Times New Roman"/>
          <w:color w:val="212121"/>
          <w:sz w:val="22"/>
          <w:szCs w:val="22"/>
          <w:shd w:val="clear" w:color="auto" w:fill="FFFFFF"/>
        </w:rPr>
        <w:t xml:space="preserve"> to 20</w:t>
      </w:r>
      <w:r>
        <w:rPr>
          <w:rFonts w:ascii="Times New Roman" w:eastAsia="Times New Roman" w:hAnsi="Times New Roman" w:cs="Times New Roman"/>
          <w:color w:val="212121"/>
          <w:sz w:val="22"/>
          <w:szCs w:val="22"/>
          <w:shd w:val="clear" w:color="auto" w:fill="FFFFFF"/>
        </w:rPr>
        <w:t>14/</w:t>
      </w:r>
      <w:r w:rsidR="00EC287C">
        <w:rPr>
          <w:rFonts w:ascii="Times New Roman" w:eastAsia="Times New Roman" w:hAnsi="Times New Roman" w:cs="Times New Roman"/>
          <w:color w:val="212121"/>
          <w:sz w:val="22"/>
          <w:szCs w:val="22"/>
          <w:shd w:val="clear" w:color="auto" w:fill="FFFFFF"/>
        </w:rPr>
        <w:t>15 school years was used as pre-policy data, while data for the 2016</w:t>
      </w:r>
      <w:r>
        <w:rPr>
          <w:rFonts w:ascii="Times New Roman" w:eastAsia="Times New Roman" w:hAnsi="Times New Roman" w:cs="Times New Roman"/>
          <w:color w:val="212121"/>
          <w:sz w:val="22"/>
          <w:szCs w:val="22"/>
          <w:shd w:val="clear" w:color="auto" w:fill="FFFFFF"/>
        </w:rPr>
        <w:t>/17</w:t>
      </w:r>
      <w:r w:rsidR="00EC287C">
        <w:rPr>
          <w:rFonts w:ascii="Times New Roman" w:eastAsia="Times New Roman" w:hAnsi="Times New Roman" w:cs="Times New Roman"/>
          <w:color w:val="212121"/>
          <w:sz w:val="22"/>
          <w:szCs w:val="22"/>
          <w:shd w:val="clear" w:color="auto" w:fill="FFFFFF"/>
        </w:rPr>
        <w:t xml:space="preserve"> and 2017</w:t>
      </w:r>
      <w:r>
        <w:rPr>
          <w:rFonts w:ascii="Times New Roman" w:eastAsia="Times New Roman" w:hAnsi="Times New Roman" w:cs="Times New Roman"/>
          <w:color w:val="212121"/>
          <w:sz w:val="22"/>
          <w:szCs w:val="22"/>
          <w:shd w:val="clear" w:color="auto" w:fill="FFFFFF"/>
        </w:rPr>
        <w:t>/18</w:t>
      </w:r>
      <w:r w:rsidR="00EC287C">
        <w:rPr>
          <w:rFonts w:ascii="Times New Roman" w:eastAsia="Times New Roman" w:hAnsi="Times New Roman" w:cs="Times New Roman"/>
          <w:color w:val="212121"/>
          <w:sz w:val="22"/>
          <w:szCs w:val="22"/>
          <w:shd w:val="clear" w:color="auto" w:fill="FFFFFF"/>
        </w:rPr>
        <w:t xml:space="preserve"> school years was used as post-policy data.</w:t>
      </w:r>
      <w:r>
        <w:rPr>
          <w:rFonts w:ascii="Times New Roman" w:eastAsia="Times New Roman" w:hAnsi="Times New Roman" w:cs="Times New Roman"/>
          <w:color w:val="212121"/>
          <w:sz w:val="22"/>
          <w:szCs w:val="22"/>
          <w:shd w:val="clear" w:color="auto" w:fill="FFFFFF"/>
        </w:rPr>
        <w:t xml:space="preserve"> </w:t>
      </w:r>
      <w:r w:rsidR="00EC287C">
        <w:rPr>
          <w:rFonts w:ascii="Times New Roman" w:eastAsia="Times New Roman" w:hAnsi="Times New Roman" w:cs="Times New Roman"/>
          <w:color w:val="212121"/>
          <w:sz w:val="22"/>
          <w:szCs w:val="22"/>
          <w:shd w:val="clear" w:color="auto" w:fill="FFFFFF"/>
        </w:rPr>
        <w:t>Covariate data was retrieved from the US Census Bureau and the Data Resource Center for Child and Adolescent Health</w:t>
      </w:r>
      <w:r>
        <w:rPr>
          <w:rFonts w:ascii="Times New Roman" w:eastAsia="Times New Roman" w:hAnsi="Times New Roman" w:cs="Times New Roman"/>
          <w:color w:val="212121"/>
          <w:sz w:val="22"/>
          <w:szCs w:val="22"/>
          <w:shd w:val="clear" w:color="auto" w:fill="FFFFFF"/>
        </w:rPr>
        <w:t>.</w:t>
      </w:r>
      <w:r w:rsidR="00EC287C">
        <w:rPr>
          <w:rFonts w:ascii="Times New Roman" w:eastAsia="Times New Roman" w:hAnsi="Times New Roman" w:cs="Times New Roman"/>
          <w:color w:val="212121"/>
          <w:sz w:val="22"/>
          <w:szCs w:val="22"/>
          <w:shd w:val="clear" w:color="auto" w:fill="FFFFFF"/>
        </w:rPr>
        <w:fldChar w:fldCharType="begin" w:fldLock="1"/>
      </w:r>
      <w:r w:rsidR="00EC287C">
        <w:rPr>
          <w:rFonts w:ascii="Times New Roman" w:eastAsia="Times New Roman" w:hAnsi="Times New Roman" w:cs="Times New Roman"/>
          <w:color w:val="212121"/>
          <w:sz w:val="22"/>
          <w:szCs w:val="22"/>
          <w:shd w:val="clear" w:color="auto" w:fill="FFFFFF"/>
        </w:rPr>
        <w:instrText>ADDIN CSL_CITATION {"citationItems":[{"id":"ITEM-1","itemData":{"URL":"https://factfinder.census.gov/faces/nav/jsf/pages/index.xhtml?","accessed":{"date-parts":[["2018","11","27"]]},"author":[{"dropping-particle":"","family":"United States Census Bureau","given":"","non-dropping-particle":"","parse-names":false,"suffix":""}],"id":"ITEM-1","issued":{"date-parts":[["0"]]},"title":"American FactFinder","type":"webpage"},"uris":["http://www.mendeley.com/documents/?uuid=d2f64eb2-2a9c-3450-a402-d192c0a33eec"]}],"mendeley":{"formattedCitation":"&lt;sup&gt;9&lt;/sup&gt;","plainTextFormattedCitation":"9","previouslyFormattedCitation":"&lt;sup&gt;9&lt;/sup&gt;"},"properties":{"noteIndex":0},"schema":"https://github.com/citation-style-language/schema/raw/master/csl-citation.json"}</w:instrText>
      </w:r>
      <w:r w:rsidR="00EC287C">
        <w:rPr>
          <w:rFonts w:ascii="Times New Roman" w:eastAsia="Times New Roman" w:hAnsi="Times New Roman" w:cs="Times New Roman"/>
          <w:color w:val="212121"/>
          <w:sz w:val="22"/>
          <w:szCs w:val="22"/>
          <w:shd w:val="clear" w:color="auto" w:fill="FFFFFF"/>
        </w:rPr>
        <w:fldChar w:fldCharType="separate"/>
      </w:r>
      <w:r w:rsidR="00EC287C" w:rsidRPr="00F04CCD">
        <w:rPr>
          <w:rFonts w:ascii="Times New Roman" w:eastAsia="Times New Roman" w:hAnsi="Times New Roman" w:cs="Times New Roman"/>
          <w:noProof/>
          <w:color w:val="212121"/>
          <w:sz w:val="22"/>
          <w:szCs w:val="22"/>
          <w:shd w:val="clear" w:color="auto" w:fill="FFFFFF"/>
          <w:vertAlign w:val="superscript"/>
        </w:rPr>
        <w:t>9</w:t>
      </w:r>
      <w:r w:rsidR="00EC287C">
        <w:rPr>
          <w:rFonts w:ascii="Times New Roman" w:eastAsia="Times New Roman" w:hAnsi="Times New Roman" w:cs="Times New Roman"/>
          <w:color w:val="212121"/>
          <w:sz w:val="22"/>
          <w:szCs w:val="22"/>
          <w:shd w:val="clear" w:color="auto" w:fill="FFFFFF"/>
        </w:rPr>
        <w:fldChar w:fldCharType="end"/>
      </w:r>
      <w:r w:rsidR="00EC287C">
        <w:rPr>
          <w:rFonts w:ascii="Times New Roman" w:eastAsia="Times New Roman" w:hAnsi="Times New Roman" w:cs="Times New Roman"/>
          <w:color w:val="212121"/>
          <w:sz w:val="22"/>
          <w:szCs w:val="22"/>
          <w:shd w:val="clear" w:color="auto" w:fill="FFFFFF"/>
          <w:vertAlign w:val="superscript"/>
        </w:rPr>
        <w:t>,</w:t>
      </w:r>
      <w:r w:rsidR="00EC287C">
        <w:rPr>
          <w:rFonts w:ascii="Times New Roman" w:eastAsia="Times New Roman" w:hAnsi="Times New Roman" w:cs="Times New Roman"/>
          <w:color w:val="212121"/>
          <w:sz w:val="22"/>
          <w:szCs w:val="22"/>
          <w:shd w:val="clear" w:color="auto" w:fill="FFFFFF"/>
        </w:rPr>
        <w:fldChar w:fldCharType="begin" w:fldLock="1"/>
      </w:r>
      <w:r w:rsidR="00EC287C">
        <w:rPr>
          <w:rFonts w:ascii="Times New Roman" w:eastAsia="Times New Roman" w:hAnsi="Times New Roman" w:cs="Times New Roman"/>
          <w:color w:val="212121"/>
          <w:sz w:val="22"/>
          <w:szCs w:val="22"/>
          <w:shd w:val="clear" w:color="auto" w:fill="FFFFFF"/>
        </w:rPr>
        <w:instrText>ADDIN CSL_CITATION {"citationItems":[{"id":"ITEM-1","itemData":{"URL":"https://www.childhealthdata.org/","accessed":{"date-parts":[["2019","1","7"]]},"id":"ITEM-1","issued":{"date-parts":[["2019"]]},"title":"Data Resource Center for Child and Adolescent Health","type":"webpage"},"uris":["http://www.mendeley.com/documents/?uuid=96ffe657-f22b-37c3-b6d8-75a6499d2b65"]}],"mendeley":{"formattedCitation":"&lt;sup&gt;10&lt;/sup&gt;","plainTextFormattedCitation":"10"},"properties":{"noteIndex":0},"schema":"https://github.com/citation-style-language/schema/raw/master/csl-citation.json"}</w:instrText>
      </w:r>
      <w:r w:rsidR="00EC287C">
        <w:rPr>
          <w:rFonts w:ascii="Times New Roman" w:eastAsia="Times New Roman" w:hAnsi="Times New Roman" w:cs="Times New Roman"/>
          <w:color w:val="212121"/>
          <w:sz w:val="22"/>
          <w:szCs w:val="22"/>
          <w:shd w:val="clear" w:color="auto" w:fill="FFFFFF"/>
        </w:rPr>
        <w:fldChar w:fldCharType="separate"/>
      </w:r>
      <w:r w:rsidR="00EC287C" w:rsidRPr="002C0041">
        <w:rPr>
          <w:rFonts w:ascii="Times New Roman" w:eastAsia="Times New Roman" w:hAnsi="Times New Roman" w:cs="Times New Roman"/>
          <w:noProof/>
          <w:color w:val="212121"/>
          <w:sz w:val="22"/>
          <w:szCs w:val="22"/>
          <w:shd w:val="clear" w:color="auto" w:fill="FFFFFF"/>
          <w:vertAlign w:val="superscript"/>
        </w:rPr>
        <w:t>10</w:t>
      </w:r>
      <w:r w:rsidR="00EC287C">
        <w:rPr>
          <w:rFonts w:ascii="Times New Roman" w:eastAsia="Times New Roman" w:hAnsi="Times New Roman" w:cs="Times New Roman"/>
          <w:color w:val="212121"/>
          <w:sz w:val="22"/>
          <w:szCs w:val="22"/>
          <w:shd w:val="clear" w:color="auto" w:fill="FFFFFF"/>
        </w:rPr>
        <w:fldChar w:fldCharType="end"/>
      </w:r>
      <w:r>
        <w:rPr>
          <w:rFonts w:ascii="Times New Roman" w:eastAsia="Times New Roman" w:hAnsi="Times New Roman" w:cs="Times New Roman"/>
          <w:color w:val="212121"/>
          <w:sz w:val="22"/>
          <w:szCs w:val="22"/>
          <w:shd w:val="clear" w:color="auto" w:fill="FFFFFF"/>
        </w:rPr>
        <w:t xml:space="preserve"> </w:t>
      </w:r>
    </w:p>
    <w:p w14:paraId="3BC90668" w14:textId="77777777" w:rsidR="000717A4" w:rsidRPr="00FE6B2B" w:rsidRDefault="000717A4" w:rsidP="000717A4">
      <w:pPr>
        <w:rPr>
          <w:rFonts w:ascii="Times New Roman" w:eastAsia="Times New Roman" w:hAnsi="Times New Roman" w:cs="Times New Roman"/>
          <w:color w:val="212121"/>
          <w:sz w:val="22"/>
          <w:szCs w:val="22"/>
          <w:shd w:val="clear" w:color="auto" w:fill="FFFFFF"/>
        </w:rPr>
      </w:pPr>
    </w:p>
    <w:p w14:paraId="2A07A63D" w14:textId="43BF21B5" w:rsidR="000717A4" w:rsidRDefault="002D11CA" w:rsidP="000717A4">
      <w:pPr>
        <w:rPr>
          <w:rFonts w:ascii="Times New Roman" w:eastAsia="Times New Roman" w:hAnsi="Times New Roman" w:cs="Times New Roman"/>
          <w:b/>
          <w:color w:val="212121"/>
          <w:sz w:val="22"/>
          <w:szCs w:val="22"/>
          <w:shd w:val="clear" w:color="auto" w:fill="FFFFFF"/>
        </w:rPr>
      </w:pPr>
      <w:r w:rsidRPr="002D11CA">
        <w:rPr>
          <w:rFonts w:ascii="Times New Roman" w:eastAsia="Times New Roman" w:hAnsi="Times New Roman" w:cs="Times New Roman"/>
          <w:b/>
          <w:color w:val="212121"/>
          <w:sz w:val="22"/>
          <w:szCs w:val="22"/>
          <w:shd w:val="clear" w:color="auto" w:fill="FFFFFF"/>
        </w:rPr>
        <w:t>Method</w:t>
      </w:r>
    </w:p>
    <w:p w14:paraId="167CECDB" w14:textId="77777777" w:rsidR="002D11CA" w:rsidRPr="002D11CA" w:rsidRDefault="002D11CA" w:rsidP="000717A4">
      <w:pPr>
        <w:rPr>
          <w:rFonts w:ascii="Times New Roman" w:eastAsia="Times New Roman" w:hAnsi="Times New Roman" w:cs="Times New Roman"/>
          <w:b/>
          <w:color w:val="212121"/>
          <w:sz w:val="22"/>
          <w:szCs w:val="22"/>
          <w:shd w:val="clear" w:color="auto" w:fill="FFFFFF"/>
        </w:rPr>
      </w:pPr>
    </w:p>
    <w:p w14:paraId="49336FD3" w14:textId="43DB16FA" w:rsidR="00AD5374" w:rsidRDefault="000717A4" w:rsidP="00AD5374">
      <w:pPr>
        <w:ind w:left="720"/>
        <w:jc w:val="both"/>
        <w:rPr>
          <w:rFonts w:ascii="Times New Roman" w:hAnsi="Times New Roman" w:cs="Times New Roman"/>
          <w:sz w:val="22"/>
          <w:szCs w:val="22"/>
        </w:rPr>
      </w:pPr>
      <w:r w:rsidRPr="00FE6B2B">
        <w:rPr>
          <w:rFonts w:ascii="Times New Roman" w:eastAsia="Times New Roman" w:hAnsi="Times New Roman" w:cs="Times New Roman"/>
          <w:color w:val="212121"/>
          <w:sz w:val="22"/>
          <w:szCs w:val="22"/>
          <w:shd w:val="clear" w:color="auto" w:fill="FFFFFF"/>
        </w:rPr>
        <w:t xml:space="preserve">The Synthetic Control </w:t>
      </w:r>
      <w:r>
        <w:rPr>
          <w:rFonts w:ascii="Times New Roman" w:eastAsia="Times New Roman" w:hAnsi="Times New Roman" w:cs="Times New Roman"/>
          <w:color w:val="212121"/>
          <w:sz w:val="22"/>
          <w:szCs w:val="22"/>
          <w:shd w:val="clear" w:color="auto" w:fill="FFFFFF"/>
        </w:rPr>
        <w:t>approach</w:t>
      </w:r>
      <w:r w:rsidRPr="00FE6B2B">
        <w:rPr>
          <w:rFonts w:ascii="Times New Roman" w:eastAsia="Times New Roman" w:hAnsi="Times New Roman" w:cs="Times New Roman"/>
          <w:color w:val="212121"/>
          <w:sz w:val="22"/>
          <w:szCs w:val="22"/>
          <w:shd w:val="clear" w:color="auto" w:fill="FFFFFF"/>
        </w:rPr>
        <w:t xml:space="preserve"> was developed by Abadie </w:t>
      </w:r>
      <w:r w:rsidR="00966133">
        <w:rPr>
          <w:rFonts w:ascii="Times New Roman" w:eastAsia="Times New Roman" w:hAnsi="Times New Roman" w:cs="Times New Roman"/>
          <w:color w:val="212121"/>
          <w:sz w:val="22"/>
          <w:szCs w:val="22"/>
          <w:shd w:val="clear" w:color="auto" w:fill="FFFFFF"/>
        </w:rPr>
        <w:t xml:space="preserve">et al., </w:t>
      </w:r>
      <w:r>
        <w:rPr>
          <w:rFonts w:ascii="Times New Roman" w:hAnsi="Times New Roman" w:cs="Times New Roman"/>
          <w:sz w:val="22"/>
          <w:szCs w:val="22"/>
        </w:rPr>
        <w:t xml:space="preserve">as an alternative to traditional </w:t>
      </w:r>
      <w:r w:rsidR="00D16244">
        <w:rPr>
          <w:rFonts w:ascii="Times New Roman" w:hAnsi="Times New Roman" w:cs="Times New Roman"/>
          <w:sz w:val="22"/>
          <w:szCs w:val="22"/>
        </w:rPr>
        <w:t xml:space="preserve">analytic approaches employed when working with </w:t>
      </w:r>
      <w:r w:rsidR="002835DB">
        <w:rPr>
          <w:rFonts w:ascii="Times New Roman" w:hAnsi="Times New Roman" w:cs="Times New Roman"/>
          <w:sz w:val="22"/>
          <w:szCs w:val="22"/>
        </w:rPr>
        <w:t xml:space="preserve">aggregated </w:t>
      </w:r>
      <w:r w:rsidR="00D16244">
        <w:rPr>
          <w:rFonts w:ascii="Times New Roman" w:hAnsi="Times New Roman" w:cs="Times New Roman"/>
          <w:sz w:val="22"/>
          <w:szCs w:val="22"/>
        </w:rPr>
        <w:t xml:space="preserve">data </w:t>
      </w:r>
      <w:r w:rsidR="002835DB">
        <w:rPr>
          <w:rFonts w:ascii="Times New Roman" w:hAnsi="Times New Roman" w:cs="Times New Roman"/>
          <w:sz w:val="22"/>
          <w:szCs w:val="22"/>
        </w:rPr>
        <w:t xml:space="preserve">in the context of </w:t>
      </w:r>
      <w:r w:rsidR="00D16244">
        <w:rPr>
          <w:rFonts w:ascii="Times New Roman" w:hAnsi="Times New Roman" w:cs="Times New Roman"/>
          <w:sz w:val="22"/>
          <w:szCs w:val="22"/>
        </w:rPr>
        <w:t>comparative case studies or policy evaluations</w:t>
      </w:r>
      <w:r w:rsidR="006E06F3">
        <w:rPr>
          <w:rFonts w:ascii="Times New Roman" w:hAnsi="Times New Roman" w:cs="Times New Roman"/>
          <w:sz w:val="22"/>
          <w:szCs w:val="22"/>
        </w:rPr>
        <w:t>.</w:t>
      </w:r>
      <w:r w:rsidR="00156B65">
        <w:rPr>
          <w:rFonts w:ascii="Times New Roman" w:hAnsi="Times New Roman" w:cs="Times New Roman"/>
          <w:sz w:val="22"/>
          <w:szCs w:val="22"/>
        </w:rPr>
        <w:fldChar w:fldCharType="begin" w:fldLock="1"/>
      </w:r>
      <w:r w:rsidR="002C0041">
        <w:rPr>
          <w:rFonts w:ascii="Times New Roman" w:hAnsi="Times New Roman" w:cs="Times New Roman"/>
          <w:sz w:val="22"/>
          <w:szCs w:val="22"/>
        </w:rPr>
        <w:instrText>ADDIN CSL_CITATION {"citationItems":[{"id":"ITEM-1","itemData":{"DOI":"10.1257/000282803321455188","ISBN":"00028282","ISSN":"00028282","author":[{"dropping-particle":"","family":"Abadie","given":"Alberto","non-dropping-particle":"","parse-names":false,"suffix":""},{"dropping-particle":"","family":"Gardeazabal","given":"Javier","non-dropping-particle":"","parse-names":false,"suffix":""},{"dropping-particle":"","family":"American","given":"The","non-dropping-particle":"","parse-names":false,"suffix":""},{"dropping-particle":"","family":"Review","given":"Economic","non-dropping-particle":"","parse-names":false,"suffix":""},{"dropping-particle":"","family":"Mar","given":"No","non-dropping-particle":"","parse-names":false,"suffix":""}],"container-title":"American Economic Review","id":"ITEM-1","issue":"1","issued":{"date-parts":[["2007"]]},"page":"113-132","title":"The Economic Costs of Conflict : A Case Study of the Basque Country The Economic Costs of Conflict : A Case Study of the Basque Country","type":"article-journal","volume":"93"},"uris":["http://www.mendeley.com/documents/?uuid=cf49ce77-7711-3db3-9354-c0e94e2fb4f1"]},{"id":"ITEM-2","itemData":{"DOI":"10.1198/jasa.2009.ap08746","ISBN":"0162-1459","ISSN":"0162-1459","PMID":"741578133","abstract":"Building on an idea in Abadie and Gardeazabal (2003), this article investi- gates the application of synthetic control methods to comparative case studies. We discuss the advantages of these methods and apply them to study the ef- fects of Proposition 99, a large-scale tobacco control program that California implemented in 1988. We demonstrate that following Proposition 99 tobacco consumption fell markedly in California relative to a comparable synthetic con- trol region. We estimate that by the year 2000 annual per capita cigarette sales in California were about 26 packs lower than what they would have been in the absence of Proposition 99. Using new inferential methods proposed in this ar- ticle, we demonstrate the significance of our estimates. Given that many policy interventions and events of interest in social sciences take place at an aggregate level (countries, regions, cities, etc.) and affect a small number of aggregate units, the potential applicability of synthetic control methods to comparative case studies is very large, especially in situations where traditional regression methods are not appropriate","author":[{"dropping-particle":"","family":"Abadie","given":"Alberto","non-dropping-particle":"","parse-names":false,"suffix":""},{"dropping-particle":"","family":"Diamond","given":"Alexis","non-dropping-particle":"","parse-names":false,"suffix":""},{"dropping-particle":"","family":"Hainmueller","given":"Jens","non-dropping-particle":"","parse-names":false,"suffix":""}],"container-title":"Journal of the American Statistical Association","id":"ITEM-2","issue":"490","issued":{"date-parts":[["2010"]]},"page":"493-505","title":"Synthetic Control Methods for Comparative Case Studies: Estimating the Effect of California’s Tobacco Control Program","type":"article-journal","volume":"105"},"uris":["http://www.mendeley.com/documents/?uuid=b0071c51-fe7e-306f-9ac7-084b88cbaf57"]},{"id":"ITEM-3","itemData":{"DOI":"10.1111/ajps.12116","ISBN":"1540-5907","ISSN":"00925853","abstract":"In recent years, a widespread consensus has emerged about the necessity of establishing bridges between quantitative and qualitative approaches to empirical research in political science. In this article, we discuss the use of the synthetic control method as away to bridge the quantitative/qualitative divide in comparative politics.The synthetic control method provides a systematic way to choose comparison units in comparative case studies. This systematization opens the door to precise quantitative inference in small-sample comparative studies, without precluding the application of qualitative approaches. Borrowing the expression from Sidney Tarrow, the synthetic control method allows researchers to put “qualitative flesh on quantitative bones.”We illustrate the main ideas behind the synthetic control method by estimating the economic impact of the 1990 German reunification onWest Germany. tarting","author":[{"dropping-particle":"","family":"Abadie","given":"Alberto","non-dropping-particle":"","parse-names":false,"suffix":""}],"container-title":"American Journal of Political Science","id":"ITEM-3","issue":"1971","issued":{"date-parts":[["2012"]]},"page":"1-16","title":"Comparative Politics and the Synthetic Control Method Alexis Diamond – International Finance Corporation","type":"article-journal"},"uris":["http://www.mendeley.com/documents/?uuid=5249ad24-7ab1-4c4f-8f47-a58e9b53c87b"]}],"mendeley":{"formattedCitation":"&lt;sup&gt;2–4&lt;/sup&gt;","plainTextFormattedCitation":"2–4","previouslyFormattedCitation":"&lt;sup&gt;2–4&lt;/sup&gt;"},"properties":{"noteIndex":0},"schema":"https://github.com/citation-style-language/schema/raw/master/csl-citation.json"}</w:instrText>
      </w:r>
      <w:r w:rsidR="00156B65">
        <w:rPr>
          <w:rFonts w:ascii="Times New Roman" w:hAnsi="Times New Roman" w:cs="Times New Roman"/>
          <w:sz w:val="22"/>
          <w:szCs w:val="22"/>
        </w:rPr>
        <w:fldChar w:fldCharType="separate"/>
      </w:r>
      <w:r w:rsidR="00156B65" w:rsidRPr="00156B65">
        <w:rPr>
          <w:rFonts w:ascii="Times New Roman" w:hAnsi="Times New Roman" w:cs="Times New Roman"/>
          <w:noProof/>
          <w:sz w:val="22"/>
          <w:szCs w:val="22"/>
          <w:vertAlign w:val="superscript"/>
        </w:rPr>
        <w:t>2–4</w:t>
      </w:r>
      <w:r w:rsidR="00156B65">
        <w:rPr>
          <w:rFonts w:ascii="Times New Roman" w:hAnsi="Times New Roman" w:cs="Times New Roman"/>
          <w:sz w:val="22"/>
          <w:szCs w:val="22"/>
        </w:rPr>
        <w:fldChar w:fldCharType="end"/>
      </w:r>
      <w:r>
        <w:rPr>
          <w:rFonts w:ascii="Times New Roman" w:hAnsi="Times New Roman" w:cs="Times New Roman"/>
          <w:sz w:val="22"/>
          <w:szCs w:val="22"/>
        </w:rPr>
        <w:t xml:space="preserve"> </w:t>
      </w:r>
      <w:r w:rsidR="006E06F3">
        <w:rPr>
          <w:rFonts w:ascii="Times New Roman" w:hAnsi="Times New Roman" w:cs="Times New Roman"/>
          <w:sz w:val="22"/>
          <w:szCs w:val="22"/>
        </w:rPr>
        <w:t>The goal of the analysis it to create</w:t>
      </w:r>
      <w:r w:rsidR="00D16244">
        <w:rPr>
          <w:rFonts w:ascii="Times New Roman" w:hAnsi="Times New Roman" w:cs="Times New Roman"/>
          <w:sz w:val="22"/>
          <w:szCs w:val="22"/>
        </w:rPr>
        <w:t xml:space="preserve"> a</w:t>
      </w:r>
      <w:r>
        <w:rPr>
          <w:rFonts w:ascii="Times New Roman" w:hAnsi="Times New Roman" w:cs="Times New Roman"/>
          <w:sz w:val="22"/>
          <w:szCs w:val="22"/>
        </w:rPr>
        <w:t xml:space="preserve"> </w:t>
      </w:r>
      <w:r w:rsidR="00D16244">
        <w:rPr>
          <w:rFonts w:ascii="Times New Roman" w:hAnsi="Times New Roman" w:cs="Times New Roman"/>
          <w:sz w:val="22"/>
          <w:szCs w:val="22"/>
        </w:rPr>
        <w:t>‘s</w:t>
      </w:r>
      <w:r>
        <w:rPr>
          <w:rFonts w:ascii="Times New Roman" w:hAnsi="Times New Roman" w:cs="Times New Roman"/>
          <w:sz w:val="22"/>
          <w:szCs w:val="22"/>
        </w:rPr>
        <w:t xml:space="preserve">ynthetic </w:t>
      </w:r>
      <w:r w:rsidR="00D16244">
        <w:rPr>
          <w:rFonts w:ascii="Times New Roman" w:hAnsi="Times New Roman" w:cs="Times New Roman"/>
          <w:sz w:val="22"/>
          <w:szCs w:val="22"/>
        </w:rPr>
        <w:t xml:space="preserve">control’ of the treated </w:t>
      </w:r>
      <w:r w:rsidR="002835DB">
        <w:rPr>
          <w:rFonts w:ascii="Times New Roman" w:hAnsi="Times New Roman" w:cs="Times New Roman"/>
          <w:sz w:val="22"/>
          <w:szCs w:val="22"/>
        </w:rPr>
        <w:t xml:space="preserve">unit </w:t>
      </w:r>
      <w:r>
        <w:rPr>
          <w:rFonts w:ascii="Times New Roman" w:hAnsi="Times New Roman" w:cs="Times New Roman"/>
          <w:sz w:val="22"/>
          <w:szCs w:val="22"/>
        </w:rPr>
        <w:t xml:space="preserve">from </w:t>
      </w:r>
      <w:r w:rsidR="008C0BEB">
        <w:rPr>
          <w:rFonts w:ascii="Times New Roman" w:hAnsi="Times New Roman" w:cs="Times New Roman"/>
          <w:sz w:val="22"/>
          <w:szCs w:val="22"/>
        </w:rPr>
        <w:t>the</w:t>
      </w:r>
      <w:r>
        <w:rPr>
          <w:rFonts w:ascii="Times New Roman" w:hAnsi="Times New Roman" w:cs="Times New Roman"/>
          <w:sz w:val="22"/>
          <w:szCs w:val="22"/>
        </w:rPr>
        <w:t xml:space="preserve"> </w:t>
      </w:r>
      <w:r w:rsidR="002835DB">
        <w:rPr>
          <w:rFonts w:ascii="Times New Roman" w:hAnsi="Times New Roman" w:cs="Times New Roman"/>
          <w:sz w:val="22"/>
          <w:szCs w:val="22"/>
        </w:rPr>
        <w:t>non-treated units</w:t>
      </w:r>
      <w:r w:rsidR="008C0BEB">
        <w:rPr>
          <w:rFonts w:ascii="Times New Roman" w:hAnsi="Times New Roman" w:cs="Times New Roman"/>
          <w:sz w:val="22"/>
          <w:szCs w:val="22"/>
        </w:rPr>
        <w:t>, known as the donor pool</w:t>
      </w:r>
      <w:r>
        <w:rPr>
          <w:rFonts w:ascii="Times New Roman" w:hAnsi="Times New Roman" w:cs="Times New Roman"/>
          <w:sz w:val="22"/>
          <w:szCs w:val="22"/>
        </w:rPr>
        <w:t>. Th</w:t>
      </w:r>
      <w:r w:rsidR="008B49A4">
        <w:rPr>
          <w:rFonts w:ascii="Times New Roman" w:hAnsi="Times New Roman" w:cs="Times New Roman"/>
          <w:sz w:val="22"/>
          <w:szCs w:val="22"/>
        </w:rPr>
        <w:t>is</w:t>
      </w:r>
      <w:r>
        <w:rPr>
          <w:rFonts w:ascii="Times New Roman" w:hAnsi="Times New Roman" w:cs="Times New Roman"/>
          <w:sz w:val="22"/>
          <w:szCs w:val="22"/>
        </w:rPr>
        <w:t xml:space="preserve"> synthetic </w:t>
      </w:r>
      <w:r w:rsidR="008B49A4">
        <w:rPr>
          <w:rFonts w:ascii="Times New Roman" w:hAnsi="Times New Roman" w:cs="Times New Roman"/>
          <w:sz w:val="22"/>
          <w:szCs w:val="22"/>
        </w:rPr>
        <w:t>region</w:t>
      </w:r>
      <w:r>
        <w:rPr>
          <w:rFonts w:ascii="Times New Roman" w:hAnsi="Times New Roman" w:cs="Times New Roman"/>
          <w:sz w:val="22"/>
          <w:szCs w:val="22"/>
        </w:rPr>
        <w:t xml:space="preserve"> approximates the behavior of the outcome in the </w:t>
      </w:r>
      <w:r w:rsidR="008B49A4">
        <w:rPr>
          <w:rFonts w:ascii="Times New Roman" w:hAnsi="Times New Roman" w:cs="Times New Roman"/>
          <w:sz w:val="22"/>
          <w:szCs w:val="22"/>
        </w:rPr>
        <w:t>treated region</w:t>
      </w:r>
      <w:r>
        <w:rPr>
          <w:rFonts w:ascii="Times New Roman" w:hAnsi="Times New Roman" w:cs="Times New Roman"/>
          <w:sz w:val="22"/>
          <w:szCs w:val="22"/>
        </w:rPr>
        <w:t xml:space="preserve"> in the absence of the intervention or policy</w:t>
      </w:r>
      <w:r w:rsidR="008B49A4">
        <w:rPr>
          <w:rFonts w:ascii="Times New Roman" w:hAnsi="Times New Roman" w:cs="Times New Roman"/>
          <w:sz w:val="22"/>
          <w:szCs w:val="22"/>
        </w:rPr>
        <w:t xml:space="preserve">. The synthetic control </w:t>
      </w:r>
      <w:r>
        <w:rPr>
          <w:rFonts w:ascii="Times New Roman" w:hAnsi="Times New Roman" w:cs="Times New Roman"/>
          <w:sz w:val="22"/>
          <w:szCs w:val="22"/>
        </w:rPr>
        <w:t>provid</w:t>
      </w:r>
      <w:r w:rsidR="008B49A4">
        <w:rPr>
          <w:rFonts w:ascii="Times New Roman" w:hAnsi="Times New Roman" w:cs="Times New Roman"/>
          <w:sz w:val="22"/>
          <w:szCs w:val="22"/>
        </w:rPr>
        <w:t xml:space="preserve">es </w:t>
      </w:r>
      <w:r>
        <w:rPr>
          <w:rFonts w:ascii="Times New Roman" w:hAnsi="Times New Roman" w:cs="Times New Roman"/>
          <w:sz w:val="22"/>
          <w:szCs w:val="22"/>
        </w:rPr>
        <w:t xml:space="preserve">a </w:t>
      </w:r>
      <w:r w:rsidR="00D16244">
        <w:rPr>
          <w:rFonts w:ascii="Times New Roman" w:hAnsi="Times New Roman" w:cs="Times New Roman"/>
          <w:sz w:val="22"/>
          <w:szCs w:val="22"/>
        </w:rPr>
        <w:t xml:space="preserve">hypothetical </w:t>
      </w:r>
      <w:r w:rsidR="008B49A4">
        <w:rPr>
          <w:rFonts w:ascii="Times New Roman" w:hAnsi="Times New Roman" w:cs="Times New Roman"/>
          <w:sz w:val="22"/>
          <w:szCs w:val="22"/>
        </w:rPr>
        <w:t>counterfactual for comparison with the actual treated unit</w:t>
      </w:r>
      <w:r w:rsidR="00C74F32">
        <w:rPr>
          <w:rFonts w:ascii="Times New Roman" w:hAnsi="Times New Roman" w:cs="Times New Roman"/>
          <w:sz w:val="22"/>
          <w:szCs w:val="22"/>
        </w:rPr>
        <w:t>, allowing researchers to estimate the magnitude of the treatment effect</w:t>
      </w:r>
      <w:r w:rsidR="008B49A4">
        <w:rPr>
          <w:rFonts w:ascii="Times New Roman" w:hAnsi="Times New Roman" w:cs="Times New Roman"/>
          <w:sz w:val="22"/>
          <w:szCs w:val="22"/>
        </w:rPr>
        <w:t xml:space="preserve">. </w:t>
      </w:r>
      <w:r>
        <w:rPr>
          <w:rFonts w:ascii="Times New Roman" w:hAnsi="Times New Roman" w:cs="Times New Roman"/>
          <w:sz w:val="22"/>
          <w:szCs w:val="22"/>
        </w:rPr>
        <w:t xml:space="preserve">The </w:t>
      </w:r>
      <w:r w:rsidR="008C0BEB">
        <w:rPr>
          <w:rFonts w:ascii="Times New Roman" w:hAnsi="Times New Roman" w:cs="Times New Roman"/>
          <w:sz w:val="22"/>
          <w:szCs w:val="22"/>
        </w:rPr>
        <w:t xml:space="preserve">resulting </w:t>
      </w:r>
      <w:r w:rsidR="008B49A4">
        <w:rPr>
          <w:rFonts w:ascii="Times New Roman" w:hAnsi="Times New Roman" w:cs="Times New Roman"/>
          <w:sz w:val="22"/>
          <w:szCs w:val="22"/>
        </w:rPr>
        <w:t xml:space="preserve">synthetic control is a weighted sum of regions from the donor pool. The </w:t>
      </w:r>
      <w:r>
        <w:rPr>
          <w:rFonts w:ascii="Times New Roman" w:hAnsi="Times New Roman" w:cs="Times New Roman"/>
          <w:sz w:val="22"/>
          <w:szCs w:val="22"/>
        </w:rPr>
        <w:t xml:space="preserve">weights are chosen to minimize the difference in a set of covariates between the treated </w:t>
      </w:r>
      <w:r w:rsidR="008B49A4">
        <w:rPr>
          <w:rFonts w:ascii="Times New Roman" w:hAnsi="Times New Roman" w:cs="Times New Roman"/>
          <w:sz w:val="22"/>
          <w:szCs w:val="22"/>
        </w:rPr>
        <w:t>unit</w:t>
      </w:r>
      <w:r>
        <w:rPr>
          <w:rFonts w:ascii="Times New Roman" w:hAnsi="Times New Roman" w:cs="Times New Roman"/>
          <w:sz w:val="22"/>
          <w:szCs w:val="22"/>
        </w:rPr>
        <w:t xml:space="preserve"> and the synthetic control in the pre</w:t>
      </w:r>
      <w:r w:rsidR="008B49A4">
        <w:rPr>
          <w:rFonts w:ascii="Times New Roman" w:hAnsi="Times New Roman" w:cs="Times New Roman"/>
          <w:sz w:val="22"/>
          <w:szCs w:val="22"/>
        </w:rPr>
        <w:t>-</w:t>
      </w:r>
      <w:r>
        <w:rPr>
          <w:rFonts w:ascii="Times New Roman" w:hAnsi="Times New Roman" w:cs="Times New Roman"/>
          <w:sz w:val="22"/>
          <w:szCs w:val="22"/>
        </w:rPr>
        <w:t>intervention period</w:t>
      </w:r>
      <w:r w:rsidRPr="00F04CCD">
        <w:rPr>
          <w:rFonts w:ascii="Times New Roman" w:hAnsi="Times New Roman" w:cs="Times New Roman"/>
          <w:sz w:val="22"/>
          <w:szCs w:val="22"/>
        </w:rPr>
        <w:t>.</w:t>
      </w:r>
      <w:r w:rsidR="0034004F" w:rsidRPr="00F04CCD">
        <w:rPr>
          <w:rFonts w:ascii="Times New Roman" w:hAnsi="Times New Roman" w:cs="Times New Roman"/>
          <w:sz w:val="22"/>
          <w:szCs w:val="22"/>
        </w:rPr>
        <w:t xml:space="preserve"> </w:t>
      </w:r>
      <w:r w:rsidR="00AD5374">
        <w:rPr>
          <w:rFonts w:ascii="Times New Roman" w:hAnsi="Times New Roman" w:cs="Times New Roman"/>
          <w:sz w:val="22"/>
          <w:szCs w:val="22"/>
        </w:rPr>
        <w:t>As such, the synthetic control analysis will be conducted in three steps. Step 1 will focus on covariate selection, while step 2 will be the application of the selected covariates to the synthetic control method. The third step is a series of sensitivity tests to assess the robustness of our model.</w:t>
      </w:r>
    </w:p>
    <w:p w14:paraId="56F0D801" w14:textId="77777777" w:rsidR="00AD5374" w:rsidRDefault="00AD5374" w:rsidP="00AD5374">
      <w:pPr>
        <w:ind w:left="720"/>
        <w:jc w:val="both"/>
        <w:rPr>
          <w:rFonts w:ascii="Times New Roman" w:hAnsi="Times New Roman" w:cs="Times New Roman"/>
          <w:sz w:val="22"/>
          <w:szCs w:val="22"/>
        </w:rPr>
      </w:pPr>
    </w:p>
    <w:p w14:paraId="56671B30" w14:textId="078181E8" w:rsidR="00AE58F7" w:rsidRDefault="00F04CCD" w:rsidP="00AE58F7">
      <w:pPr>
        <w:ind w:left="720"/>
        <w:jc w:val="both"/>
        <w:rPr>
          <w:rFonts w:ascii="Times New Roman" w:hAnsi="Times New Roman" w:cs="Times New Roman"/>
          <w:sz w:val="22"/>
          <w:szCs w:val="22"/>
        </w:rPr>
      </w:pPr>
      <w:r>
        <w:rPr>
          <w:rFonts w:ascii="Times New Roman" w:hAnsi="Times New Roman" w:cs="Times New Roman"/>
          <w:sz w:val="22"/>
          <w:szCs w:val="22"/>
        </w:rPr>
        <w:t>P</w:t>
      </w:r>
      <w:r w:rsidR="006F7F69" w:rsidRPr="00F04CCD">
        <w:rPr>
          <w:rFonts w:ascii="Times New Roman" w:hAnsi="Times New Roman" w:cs="Times New Roman"/>
          <w:sz w:val="22"/>
          <w:szCs w:val="22"/>
        </w:rPr>
        <w:t xml:space="preserve">ossible </w:t>
      </w:r>
      <w:r w:rsidR="008B49A4" w:rsidRPr="00F04CCD">
        <w:rPr>
          <w:rFonts w:ascii="Times New Roman" w:hAnsi="Times New Roman" w:cs="Times New Roman"/>
          <w:sz w:val="22"/>
          <w:szCs w:val="22"/>
        </w:rPr>
        <w:t>cov</w:t>
      </w:r>
      <w:r w:rsidR="000717A4" w:rsidRPr="00F04CCD">
        <w:rPr>
          <w:rFonts w:ascii="Times New Roman" w:hAnsi="Times New Roman" w:cs="Times New Roman"/>
          <w:sz w:val="22"/>
          <w:szCs w:val="22"/>
        </w:rPr>
        <w:t>aria</w:t>
      </w:r>
      <w:r w:rsidR="008B49A4" w:rsidRPr="00F04CCD">
        <w:rPr>
          <w:rFonts w:ascii="Times New Roman" w:hAnsi="Times New Roman" w:cs="Times New Roman"/>
          <w:sz w:val="22"/>
          <w:szCs w:val="22"/>
        </w:rPr>
        <w:t>t</w:t>
      </w:r>
      <w:r w:rsidR="000717A4" w:rsidRPr="00F04CCD">
        <w:rPr>
          <w:rFonts w:ascii="Times New Roman" w:hAnsi="Times New Roman" w:cs="Times New Roman"/>
          <w:sz w:val="22"/>
          <w:szCs w:val="22"/>
        </w:rPr>
        <w:t>es</w:t>
      </w:r>
      <w:r w:rsidR="008B49A4" w:rsidRPr="00F04CCD">
        <w:rPr>
          <w:rFonts w:ascii="Times New Roman" w:hAnsi="Times New Roman" w:cs="Times New Roman"/>
          <w:sz w:val="22"/>
          <w:szCs w:val="22"/>
        </w:rPr>
        <w:t xml:space="preserve"> </w:t>
      </w:r>
      <w:r w:rsidR="0034004F" w:rsidRPr="00F04CCD">
        <w:rPr>
          <w:rFonts w:ascii="Times New Roman" w:hAnsi="Times New Roman" w:cs="Times New Roman"/>
          <w:sz w:val="22"/>
          <w:szCs w:val="22"/>
        </w:rPr>
        <w:t>w</w:t>
      </w:r>
      <w:r>
        <w:rPr>
          <w:rFonts w:ascii="Times New Roman" w:hAnsi="Times New Roman" w:cs="Times New Roman"/>
          <w:sz w:val="22"/>
          <w:szCs w:val="22"/>
        </w:rPr>
        <w:t>ere</w:t>
      </w:r>
      <w:r w:rsidR="0034004F" w:rsidRPr="00F04CCD">
        <w:rPr>
          <w:rFonts w:ascii="Times New Roman" w:hAnsi="Times New Roman" w:cs="Times New Roman"/>
          <w:sz w:val="22"/>
          <w:szCs w:val="22"/>
        </w:rPr>
        <w:t xml:space="preserve"> identified based on</w:t>
      </w:r>
      <w:r w:rsidR="006F7F69" w:rsidRPr="00F04CCD">
        <w:rPr>
          <w:rFonts w:ascii="Times New Roman" w:hAnsi="Times New Roman" w:cs="Times New Roman"/>
          <w:sz w:val="22"/>
          <w:szCs w:val="22"/>
        </w:rPr>
        <w:t xml:space="preserve"> a review </w:t>
      </w:r>
      <w:r w:rsidRPr="00F04CCD">
        <w:rPr>
          <w:rFonts w:ascii="Times New Roman" w:hAnsi="Times New Roman" w:cs="Times New Roman"/>
          <w:sz w:val="22"/>
          <w:szCs w:val="22"/>
        </w:rPr>
        <w:t>of</w:t>
      </w:r>
      <w:r w:rsidR="006F7F69" w:rsidRPr="00F04CCD">
        <w:rPr>
          <w:rFonts w:ascii="Times New Roman" w:hAnsi="Times New Roman" w:cs="Times New Roman"/>
          <w:sz w:val="22"/>
          <w:szCs w:val="22"/>
        </w:rPr>
        <w:t xml:space="preserve"> vaccine coverage literature</w:t>
      </w:r>
      <w:r w:rsidR="00AD5374">
        <w:rPr>
          <w:rFonts w:ascii="Times New Roman" w:hAnsi="Times New Roman" w:cs="Times New Roman"/>
          <w:sz w:val="22"/>
          <w:szCs w:val="22"/>
        </w:rPr>
        <w:t>, and expert opinion.</w:t>
      </w:r>
      <w:r w:rsidRPr="00F04CCD">
        <w:rPr>
          <w:rFonts w:ascii="Times New Roman" w:hAnsi="Times New Roman" w:cs="Times New Roman"/>
          <w:sz w:val="22"/>
          <w:szCs w:val="22"/>
        </w:rPr>
        <w:fldChar w:fldCharType="begin" w:fldLock="1"/>
      </w:r>
      <w:r w:rsidR="002C0041">
        <w:rPr>
          <w:rFonts w:ascii="Times New Roman" w:hAnsi="Times New Roman" w:cs="Times New Roman"/>
          <w:sz w:val="22"/>
          <w:szCs w:val="22"/>
        </w:rPr>
        <w:instrText>ADDIN CSL_CITATION {"citationItems":[{"id":"ITEM-1","itemData":{"DOI":"10.1016/j.jpeds.2017.12.024","ISSN":"10976833","PMID":"29398056","abstract":"Objective: To assess selected vaccination coverage among adolescents by health insurance status and other access-to-care characteristics. Study design: The 2015 National Immunization Survey-Teen data were used to assess vaccination coverage disparities among adolescents by health insurance status and other access-to-care variables. Multivariable logistic regression analysis and a predictive marginal modeling were conducted to evaluate associations between health insurance status and vaccination coverage. Results: Overall, vaccination coverage was significantly lower among uninsured compared with insured adolescents for all vaccines assessed for except ≥3 doses of human papillomavirus vaccine (HPV) among male adolescents. Among adolescents 13-17 years of age, vaccination of uninsured compared with insured adolescents, respectively, for tetanus toxoid, reduced content diphtheria toxoid, and acellular pertussis vaccine was 77.4% vs 86.8%; for ≥1 dose of meningococcal conjugate vaccine was 72.9% vs 81.7%; for ≥1 dose of HPV was 38.8% vs 50.2% among male and 42.9% vs 63.8% among female adolescents; for 3 doses of HPV was 24.9% vs 42.8% among female adolescents. In addition, vaccination coverage differed by the following: type of insurance among insured adolescents, having a well-child visit at 11-12 years of age, and number of healthcare provider contacts in the past year. Uninsured were less likely than insured adolescents to be vaccinated for HPV (female: ≥1 dose and 3 doses; and male: ≥1 doses) after adjusting for confounding variables. Conclusions: Overall, vaccination coverage was lower among uninsured adolescents. HPV vaccination coverage was lower than tetanus toxoid, reduced content diphtheria toxoid, and acellular pertussis vaccine Tdap and meningococcal conjugate vaccine in both insured and uninsured adolescents. Wider implementation of effective evidence-based strategies is needed to help improve vaccination coverage among adolescents, particularly for those who are uninsured. Limitation of current federally funded vaccination programs or access to healthcare would be expected to erode vaccine coverage of adolescents.","author":[{"dropping-particle":"","family":"Lu","given":"Peng jun","non-dropping-particle":"","parse-names":false,"suffix":""},{"dropping-particle":"","family":"Yankey","given":"David","non-dropping-particle":"","parse-names":false,"suffix":""},{"dropping-particle":"","family":"Jeyarajah","given":"Jenny","non-dropping-particle":"","parse-names":false,"suffix":""},{"dropping-particle":"","family":"O'Halloran","given":"Alissa","non-dropping-particle":"","parse-names":false,"suffix":""},{"dropping-particle":"","family":"Fredua","given":"Benjamin","non-dropping-particle":"","parse-names":false,"suffix":""},{"dropping-particle":"","family":"Elam-Evans","given":"Laurie D.","non-dropping-particle":"","parse-names":false,"suffix":""},{"dropping-particle":"","family":"Reagan-Steiner","given":"Sarah","non-dropping-particle":"","parse-names":false,"suffix":""}],"container-title":"Journal of Pediatrics","id":"ITEM-1","issued":{"date-parts":[["2018"]]},"page":"256-262.e1","publisher":"Elsevier Inc.","title":"Association of Health Insurance Status and Vaccination Coverage among Adolescents 13-17 Years of Age","type":"article-journal","volume":"195"},"uris":["http://www.mendeley.com/documents/?uuid=91b27d01-2b58-473f-9c2e-35bc766cda17"]},{"id":"ITEM-2","itemData":{"DOI":"10.1016/j.vaccine.2012.11.092","ISBN":"0264-410X","ISSN":"0264410X","PMID":"23246263","abstract":"Objectives: The present study was designed to characterize Arizona schools with high rates of permanent PBE among kindergartners, and to determine the degree to which they aggregate across the state. Methods: Data for permanent personal belief exemptions (PBE) were accessed through the 2010-2011 kindergarten Immunization Data Report (IDR) from the Arizona Department of Health Services (AZDHS), and were linked to the 2009-2010 data from the National Center of Education Statistics (NCES). Incidence rate ratios (IRR) were calculated using negative binomial regression, and hotspots were identified using Getis-Ord Gi*. Results: Schools with highest proportion of white students compared to the lowest had the highest exemption rates (IRR = 14.11; 95% confidence interval [CI], 9.47-21.03); furthermore charter schools and those with low prevalence of free and reduced lunches had significantly higher rates of PBE. Statewide analyses of PBE identified higher rates of permanent PBE in northern vs. southern Arizona, while a more focused examination of the central Arizona region demonstrated a pattern of increased PBE from west to east. Conclusion: In Arizona, the profile of a high PBE school is that of a charter school attended by predominantly white, higher-income students. The local and statewide hotspots serve as a challenge that requires a multi-faceted approach that calls upon all healthcare professionals. It is important that both local and statewide pockets be targeted by local and state officials either to improve vaccination uptake or to employ careful monitoring to identify outbreaks at their onset. © 2012 Elsevier Ltd.","author":[{"dropping-particle":"","family":"Birnbaum","given":"Michael S","non-dropping-particle":"","parse-names":false,"suffix":""},{"dropping-particle":"","family":"Jacobs","given":"Elizabeth T","non-dropping-particle":"","parse-names":false,"suffix":""},{"dropping-particle":"","family":"Ralston-King","given":"Jennifer","non-dropping-particle":"","parse-names":false,"suffix":""},{"dropping-particle":"","family":"Ernst","given":"Kacey C","non-dropping-particle":"","parse-names":false,"suffix":""}],"container-title":"Vaccine","id":"ITEM-2","issue":"5","issued":{"date-parts":[["2013"]]},"page":"750-756","title":"Correlates of high vaccination exemption rates among kindergartens","type":"article-journal","volume":"31"},"uris":["http://www.mendeley.com/documents/?uuid=f76c4a30-dfb6-3d82-bf51-f4117f6fd1bd"]},{"id":"ITEM-3","itemData":{"DOI":"10.1016/j.vacrep.2016.10.001","ISSN":"24057843","abstract":"Introduction We investigated the extent to which school-specific kindergarten vaccination up-to-date status prevalence differs by public and private school types, student demographic composition, and geographic location across schools in Vancouver, and four adjacent British Columbia communities, during 2013–14. Methods School-specific kindergarten coverage for seven vaccinations plus up-to-date status were merged with data on school type and student sociodemographic composition for 219 schools within 9 Local Health Areas (LHAs). Results In adjusted Tobit regression models, private non-religious (versus public) schools were associated with lower up-to-date status (b = −9.51 percentage points). Student enrollment was positively associated with higher coverage, while greater number of English Language Learners (ELL), students speaking English at home, and Aboriginal students were each negatively associated with up-to-date coverage. The most socioeconomically disadvantaged and advantaged LHAs had the lowest coverage. Conclusion Our findings identify lower coverage among some types of private schools and in affluent and disadvantaged communities—and corroborate documented US coverage patterns. Future studies need to investigate school and community factors that may contribute to such patterns, in order to identify potential mechanisms and design appropriate interventions to increase vaccine coverage.","author":[{"dropping-particle":"","family":"Carpiano","given":"Richard M","non-dropping-particle":"","parse-names":false,"suffix":""},{"dropping-particle":"","family":"Bettinger","given":"Julie A","non-dropping-particle":"","parse-names":false,"suffix":""}],"container-title":"Vaccine Reports","id":"ITEM-3","issued":{"date-parts":[["2016"]]},"page":"50-55","title":"Vaccine coverage for kindergarteners: Factors associated with school and area variation in Vancouver, British Columbia","type":"article-journal","volume":"6"},"uris":["http://www.mendeley.com/documents/?uuid=9c05a3e4-880e-3d76-b948-defe30094497"]}],"mendeley":{"formattedCitation":"&lt;sup&gt;5–7&lt;/sup&gt;","plainTextFormattedCitation":"5–7","previouslyFormattedCitation":"&lt;sup&gt;5–7&lt;/sup&gt;"},"properties":{"noteIndex":0},"schema":"https://github.com/citation-style-language/schema/raw/master/csl-citation.json"}</w:instrText>
      </w:r>
      <w:r w:rsidRPr="00F04CCD">
        <w:rPr>
          <w:rFonts w:ascii="Times New Roman" w:hAnsi="Times New Roman" w:cs="Times New Roman"/>
          <w:sz w:val="22"/>
          <w:szCs w:val="22"/>
        </w:rPr>
        <w:fldChar w:fldCharType="separate"/>
      </w:r>
      <w:r w:rsidRPr="00F04CCD">
        <w:rPr>
          <w:rFonts w:ascii="Times New Roman" w:hAnsi="Times New Roman" w:cs="Times New Roman"/>
          <w:noProof/>
          <w:sz w:val="22"/>
          <w:szCs w:val="22"/>
          <w:vertAlign w:val="superscript"/>
        </w:rPr>
        <w:t>5–7</w:t>
      </w:r>
      <w:r w:rsidRPr="00F04CCD">
        <w:rPr>
          <w:rFonts w:ascii="Times New Roman" w:hAnsi="Times New Roman" w:cs="Times New Roman"/>
          <w:sz w:val="22"/>
          <w:szCs w:val="22"/>
        </w:rPr>
        <w:fldChar w:fldCharType="end"/>
      </w:r>
      <w:r w:rsidR="006F7F69">
        <w:rPr>
          <w:rFonts w:ascii="Times New Roman" w:hAnsi="Times New Roman" w:cs="Times New Roman"/>
          <w:sz w:val="22"/>
          <w:szCs w:val="22"/>
        </w:rPr>
        <w:t xml:space="preserve"> </w:t>
      </w:r>
      <w:r>
        <w:rPr>
          <w:rFonts w:ascii="Times New Roman" w:hAnsi="Times New Roman" w:cs="Times New Roman"/>
          <w:sz w:val="22"/>
          <w:szCs w:val="22"/>
        </w:rPr>
        <w:t xml:space="preserve">The set of covariates </w:t>
      </w:r>
      <w:r w:rsidR="00AD5374">
        <w:rPr>
          <w:rFonts w:ascii="Times New Roman" w:hAnsi="Times New Roman" w:cs="Times New Roman"/>
          <w:sz w:val="22"/>
          <w:szCs w:val="22"/>
        </w:rPr>
        <w:t xml:space="preserve">to be </w:t>
      </w:r>
      <w:r>
        <w:rPr>
          <w:rFonts w:ascii="Times New Roman" w:hAnsi="Times New Roman" w:cs="Times New Roman"/>
          <w:sz w:val="22"/>
          <w:szCs w:val="22"/>
        </w:rPr>
        <w:t>incl</w:t>
      </w:r>
      <w:r w:rsidR="00C74F32">
        <w:rPr>
          <w:rFonts w:ascii="Times New Roman" w:hAnsi="Times New Roman" w:cs="Times New Roman"/>
          <w:sz w:val="22"/>
          <w:szCs w:val="22"/>
        </w:rPr>
        <w:t>uded in the model w</w:t>
      </w:r>
      <w:r w:rsidR="002C0041">
        <w:rPr>
          <w:rFonts w:ascii="Times New Roman" w:hAnsi="Times New Roman" w:cs="Times New Roman"/>
          <w:sz w:val="22"/>
          <w:szCs w:val="22"/>
        </w:rPr>
        <w:t>as</w:t>
      </w:r>
      <w:r w:rsidR="00C74F32">
        <w:rPr>
          <w:rFonts w:ascii="Times New Roman" w:hAnsi="Times New Roman" w:cs="Times New Roman"/>
          <w:sz w:val="22"/>
          <w:szCs w:val="22"/>
        </w:rPr>
        <w:t xml:space="preserve"> </w:t>
      </w:r>
      <w:r w:rsidR="00AD5374">
        <w:rPr>
          <w:rFonts w:ascii="Times New Roman" w:hAnsi="Times New Roman" w:cs="Times New Roman"/>
          <w:sz w:val="22"/>
          <w:szCs w:val="22"/>
        </w:rPr>
        <w:t>then chosen</w:t>
      </w:r>
      <w:r w:rsidR="00C74F32">
        <w:rPr>
          <w:rFonts w:ascii="Times New Roman" w:hAnsi="Times New Roman" w:cs="Times New Roman"/>
          <w:sz w:val="22"/>
          <w:szCs w:val="22"/>
        </w:rPr>
        <w:t xml:space="preserve"> </w:t>
      </w:r>
      <w:r>
        <w:rPr>
          <w:rFonts w:ascii="Times New Roman" w:hAnsi="Times New Roman" w:cs="Times New Roman"/>
          <w:sz w:val="22"/>
          <w:szCs w:val="22"/>
        </w:rPr>
        <w:t>via a</w:t>
      </w:r>
      <w:r w:rsidR="00AD5374">
        <w:rPr>
          <w:rFonts w:ascii="Times New Roman" w:hAnsi="Times New Roman" w:cs="Times New Roman"/>
          <w:sz w:val="22"/>
          <w:szCs w:val="22"/>
        </w:rPr>
        <w:t xml:space="preserve"> manual</w:t>
      </w:r>
      <w:r>
        <w:rPr>
          <w:rFonts w:ascii="Times New Roman" w:hAnsi="Times New Roman" w:cs="Times New Roman"/>
          <w:sz w:val="22"/>
          <w:szCs w:val="22"/>
        </w:rPr>
        <w:t xml:space="preserve"> stepwise variable inclusion procedure. Each</w:t>
      </w:r>
      <w:r w:rsidR="0034004F">
        <w:rPr>
          <w:rFonts w:ascii="Times New Roman" w:hAnsi="Times New Roman" w:cs="Times New Roman"/>
          <w:sz w:val="22"/>
          <w:szCs w:val="22"/>
        </w:rPr>
        <w:t xml:space="preserve"> covariate </w:t>
      </w:r>
      <w:r>
        <w:rPr>
          <w:rFonts w:ascii="Times New Roman" w:hAnsi="Times New Roman" w:cs="Times New Roman"/>
          <w:sz w:val="22"/>
          <w:szCs w:val="22"/>
        </w:rPr>
        <w:t>was</w:t>
      </w:r>
      <w:r w:rsidR="000717A4">
        <w:rPr>
          <w:rFonts w:ascii="Times New Roman" w:hAnsi="Times New Roman" w:cs="Times New Roman"/>
          <w:sz w:val="22"/>
          <w:szCs w:val="22"/>
        </w:rPr>
        <w:t xml:space="preserve"> </w:t>
      </w:r>
      <w:r>
        <w:rPr>
          <w:rFonts w:ascii="Times New Roman" w:hAnsi="Times New Roman" w:cs="Times New Roman"/>
          <w:sz w:val="22"/>
          <w:szCs w:val="22"/>
        </w:rPr>
        <w:t>included stepwise in the model</w:t>
      </w:r>
      <w:r w:rsidR="008B49A4">
        <w:rPr>
          <w:rFonts w:ascii="Times New Roman" w:hAnsi="Times New Roman" w:cs="Times New Roman"/>
          <w:sz w:val="22"/>
          <w:szCs w:val="22"/>
        </w:rPr>
        <w:t xml:space="preserve">, starting with the </w:t>
      </w:r>
      <w:r>
        <w:rPr>
          <w:rFonts w:ascii="Times New Roman" w:hAnsi="Times New Roman" w:cs="Times New Roman"/>
          <w:sz w:val="22"/>
          <w:szCs w:val="22"/>
        </w:rPr>
        <w:t>covariate</w:t>
      </w:r>
      <w:r w:rsidR="008B49A4">
        <w:rPr>
          <w:rFonts w:ascii="Times New Roman" w:hAnsi="Times New Roman" w:cs="Times New Roman"/>
          <w:sz w:val="22"/>
          <w:szCs w:val="22"/>
        </w:rPr>
        <w:t xml:space="preserve"> that minimized a Root Mean Square Predictive Error</w:t>
      </w:r>
      <w:r w:rsidR="002D11CA">
        <w:rPr>
          <w:rFonts w:ascii="Times New Roman" w:hAnsi="Times New Roman" w:cs="Times New Roman"/>
          <w:sz w:val="22"/>
          <w:szCs w:val="22"/>
        </w:rPr>
        <w:t xml:space="preserve"> (RMSPE)</w:t>
      </w:r>
      <w:r w:rsidR="00C74F32">
        <w:rPr>
          <w:rFonts w:ascii="Times New Roman" w:hAnsi="Times New Roman" w:cs="Times New Roman"/>
          <w:sz w:val="22"/>
          <w:szCs w:val="22"/>
        </w:rPr>
        <w:t xml:space="preserve"> value. S</w:t>
      </w:r>
      <w:r w:rsidR="008B49A4">
        <w:rPr>
          <w:rFonts w:ascii="Times New Roman" w:hAnsi="Times New Roman" w:cs="Times New Roman"/>
          <w:sz w:val="22"/>
          <w:szCs w:val="22"/>
        </w:rPr>
        <w:t>ubsequently</w:t>
      </w:r>
      <w:r w:rsidR="00C74F32">
        <w:rPr>
          <w:rFonts w:ascii="Times New Roman" w:hAnsi="Times New Roman" w:cs="Times New Roman"/>
          <w:sz w:val="22"/>
          <w:szCs w:val="22"/>
        </w:rPr>
        <w:t xml:space="preserve">, </w:t>
      </w:r>
      <w:r>
        <w:rPr>
          <w:rFonts w:ascii="Times New Roman" w:hAnsi="Times New Roman" w:cs="Times New Roman"/>
          <w:sz w:val="22"/>
          <w:szCs w:val="22"/>
        </w:rPr>
        <w:t>covariates</w:t>
      </w:r>
      <w:r w:rsidR="008B49A4">
        <w:rPr>
          <w:rFonts w:ascii="Times New Roman" w:hAnsi="Times New Roman" w:cs="Times New Roman"/>
          <w:sz w:val="22"/>
          <w:szCs w:val="22"/>
        </w:rPr>
        <w:t xml:space="preserve"> that further reduce</w:t>
      </w:r>
      <w:r>
        <w:rPr>
          <w:rFonts w:ascii="Times New Roman" w:hAnsi="Times New Roman" w:cs="Times New Roman"/>
          <w:sz w:val="22"/>
          <w:szCs w:val="22"/>
        </w:rPr>
        <w:t>d</w:t>
      </w:r>
      <w:r w:rsidR="008B49A4">
        <w:rPr>
          <w:rFonts w:ascii="Times New Roman" w:hAnsi="Times New Roman" w:cs="Times New Roman"/>
          <w:sz w:val="22"/>
          <w:szCs w:val="22"/>
        </w:rPr>
        <w:t xml:space="preserve"> this value</w:t>
      </w:r>
      <w:r w:rsidR="00C74F32">
        <w:rPr>
          <w:rFonts w:ascii="Times New Roman" w:hAnsi="Times New Roman" w:cs="Times New Roman"/>
          <w:sz w:val="22"/>
          <w:szCs w:val="22"/>
        </w:rPr>
        <w:t xml:space="preserve"> were added</w:t>
      </w:r>
      <w:r w:rsidR="00AE58F7">
        <w:rPr>
          <w:rFonts w:ascii="Times New Roman" w:hAnsi="Times New Roman" w:cs="Times New Roman"/>
          <w:sz w:val="22"/>
          <w:szCs w:val="22"/>
        </w:rPr>
        <w:t xml:space="preserve"> to the final set of covariates</w:t>
      </w:r>
      <w:r w:rsidR="008B49A4">
        <w:rPr>
          <w:rFonts w:ascii="Times New Roman" w:hAnsi="Times New Roman" w:cs="Times New Roman"/>
          <w:sz w:val="22"/>
          <w:szCs w:val="22"/>
        </w:rPr>
        <w:t xml:space="preserve">. </w:t>
      </w:r>
      <w:r w:rsidR="00AE58F7">
        <w:rPr>
          <w:rFonts w:ascii="Times New Roman" w:hAnsi="Times New Roman" w:cs="Times New Roman"/>
          <w:sz w:val="22"/>
          <w:szCs w:val="22"/>
        </w:rPr>
        <w:t>The resulting graph did not exhibit a monotonic decrease, and so we chose a set of covariates that minimized RMSPE, with as few terms as possible</w:t>
      </w:r>
      <w:r w:rsidR="00981C53">
        <w:rPr>
          <w:rFonts w:ascii="Times New Roman" w:hAnsi="Times New Roman" w:cs="Times New Roman"/>
          <w:sz w:val="22"/>
          <w:szCs w:val="22"/>
        </w:rPr>
        <w:t xml:space="preserve">. </w:t>
      </w:r>
      <w:r w:rsidR="00AE58F7">
        <w:rPr>
          <w:rFonts w:ascii="Times New Roman" w:hAnsi="Times New Roman" w:cs="Times New Roman"/>
          <w:sz w:val="22"/>
          <w:szCs w:val="22"/>
        </w:rPr>
        <w:t xml:space="preserve">We incorporated </w:t>
      </w:r>
      <w:r w:rsidR="00AE58F7">
        <w:rPr>
          <w:rFonts w:ascii="Times New Roman" w:eastAsia="Times New Roman" w:hAnsi="Times New Roman" w:cs="Times New Roman"/>
          <w:color w:val="212121"/>
          <w:sz w:val="22"/>
          <w:szCs w:val="22"/>
          <w:shd w:val="clear" w:color="auto" w:fill="FFFFFF"/>
        </w:rPr>
        <w:t>c</w:t>
      </w:r>
      <w:r w:rsidR="000717A4">
        <w:rPr>
          <w:rFonts w:ascii="Times New Roman" w:eastAsia="Times New Roman" w:hAnsi="Times New Roman" w:cs="Times New Roman"/>
          <w:color w:val="212121"/>
          <w:sz w:val="22"/>
          <w:szCs w:val="22"/>
          <w:shd w:val="clear" w:color="auto" w:fill="FFFFFF"/>
        </w:rPr>
        <w:t>ross validation</w:t>
      </w:r>
      <w:r w:rsidR="00AE58F7">
        <w:rPr>
          <w:rFonts w:ascii="Times New Roman" w:eastAsia="Times New Roman" w:hAnsi="Times New Roman" w:cs="Times New Roman"/>
          <w:color w:val="212121"/>
          <w:sz w:val="22"/>
          <w:szCs w:val="22"/>
          <w:shd w:val="clear" w:color="auto" w:fill="FFFFFF"/>
        </w:rPr>
        <w:t xml:space="preserve"> into the variable selection procedure</w:t>
      </w:r>
      <w:r w:rsidR="000717A4">
        <w:rPr>
          <w:rFonts w:ascii="Times New Roman" w:eastAsia="Times New Roman" w:hAnsi="Times New Roman" w:cs="Times New Roman"/>
          <w:color w:val="212121"/>
          <w:sz w:val="22"/>
          <w:szCs w:val="22"/>
          <w:shd w:val="clear" w:color="auto" w:fill="FFFFFF"/>
        </w:rPr>
        <w:t xml:space="preserve"> to ensure that the</w:t>
      </w:r>
      <w:r>
        <w:rPr>
          <w:rFonts w:ascii="Times New Roman" w:eastAsia="Times New Roman" w:hAnsi="Times New Roman" w:cs="Times New Roman"/>
          <w:color w:val="212121"/>
          <w:sz w:val="22"/>
          <w:szCs w:val="22"/>
          <w:shd w:val="clear" w:color="auto" w:fill="FFFFFF"/>
        </w:rPr>
        <w:t xml:space="preserve"> resulting</w:t>
      </w:r>
      <w:r w:rsidR="000717A4">
        <w:rPr>
          <w:rFonts w:ascii="Times New Roman" w:eastAsia="Times New Roman" w:hAnsi="Times New Roman" w:cs="Times New Roman"/>
          <w:color w:val="212121"/>
          <w:sz w:val="22"/>
          <w:szCs w:val="22"/>
          <w:shd w:val="clear" w:color="auto" w:fill="FFFFFF"/>
        </w:rPr>
        <w:t xml:space="preserve"> variable combination did not </w:t>
      </w:r>
      <w:r>
        <w:rPr>
          <w:rFonts w:ascii="Times New Roman" w:eastAsia="Times New Roman" w:hAnsi="Times New Roman" w:cs="Times New Roman"/>
          <w:color w:val="212121"/>
          <w:sz w:val="22"/>
          <w:szCs w:val="22"/>
          <w:shd w:val="clear" w:color="auto" w:fill="FFFFFF"/>
        </w:rPr>
        <w:t xml:space="preserve">overfit the </w:t>
      </w:r>
      <w:r>
        <w:rPr>
          <w:rFonts w:ascii="Times New Roman" w:eastAsia="Times New Roman" w:hAnsi="Times New Roman" w:cs="Times New Roman"/>
          <w:color w:val="212121"/>
          <w:sz w:val="22"/>
          <w:szCs w:val="22"/>
          <w:shd w:val="clear" w:color="auto" w:fill="FFFFFF"/>
        </w:rPr>
        <w:lastRenderedPageBreak/>
        <w:t>model</w:t>
      </w:r>
      <w:r w:rsidR="00EC287C">
        <w:rPr>
          <w:rFonts w:ascii="Times New Roman" w:eastAsia="Times New Roman" w:hAnsi="Times New Roman" w:cs="Times New Roman"/>
          <w:color w:val="212121"/>
          <w:sz w:val="22"/>
          <w:szCs w:val="22"/>
          <w:shd w:val="clear" w:color="auto" w:fill="FFFFFF"/>
        </w:rPr>
        <w:t xml:space="preserve">. </w:t>
      </w:r>
      <w:r w:rsidR="00981C53">
        <w:rPr>
          <w:rFonts w:ascii="Times New Roman" w:eastAsia="Times New Roman" w:hAnsi="Times New Roman" w:cs="Times New Roman"/>
          <w:color w:val="212121"/>
          <w:sz w:val="22"/>
          <w:szCs w:val="22"/>
          <w:shd w:val="clear" w:color="auto" w:fill="FFFFFF"/>
        </w:rPr>
        <w:t>To do this w</w:t>
      </w:r>
      <w:r w:rsidR="00EC287C">
        <w:rPr>
          <w:rFonts w:ascii="Times New Roman" w:eastAsia="Times New Roman" w:hAnsi="Times New Roman" w:cs="Times New Roman"/>
          <w:color w:val="212121"/>
          <w:sz w:val="22"/>
          <w:szCs w:val="22"/>
          <w:shd w:val="clear" w:color="auto" w:fill="FFFFFF"/>
        </w:rPr>
        <w:t>e used a subset of the preintervention data to train the model (2011</w:t>
      </w:r>
      <w:r w:rsidR="00981C53">
        <w:rPr>
          <w:rFonts w:ascii="Times New Roman" w:eastAsia="Times New Roman" w:hAnsi="Times New Roman" w:cs="Times New Roman"/>
          <w:color w:val="212121"/>
          <w:sz w:val="22"/>
          <w:szCs w:val="22"/>
          <w:shd w:val="clear" w:color="auto" w:fill="FFFFFF"/>
        </w:rPr>
        <w:t>/12</w:t>
      </w:r>
      <w:r w:rsidR="00EC287C">
        <w:rPr>
          <w:rFonts w:ascii="Times New Roman" w:eastAsia="Times New Roman" w:hAnsi="Times New Roman" w:cs="Times New Roman"/>
          <w:color w:val="212121"/>
          <w:sz w:val="22"/>
          <w:szCs w:val="22"/>
          <w:shd w:val="clear" w:color="auto" w:fill="FFFFFF"/>
        </w:rPr>
        <w:t xml:space="preserve"> </w:t>
      </w:r>
      <w:r w:rsidR="00981C53">
        <w:rPr>
          <w:rFonts w:ascii="Times New Roman" w:eastAsia="Times New Roman" w:hAnsi="Times New Roman" w:cs="Times New Roman"/>
          <w:color w:val="212121"/>
          <w:sz w:val="22"/>
          <w:szCs w:val="22"/>
          <w:shd w:val="clear" w:color="auto" w:fill="FFFFFF"/>
        </w:rPr>
        <w:t>–</w:t>
      </w:r>
      <w:r w:rsidR="00EC287C">
        <w:rPr>
          <w:rFonts w:ascii="Times New Roman" w:eastAsia="Times New Roman" w:hAnsi="Times New Roman" w:cs="Times New Roman"/>
          <w:color w:val="212121"/>
          <w:sz w:val="22"/>
          <w:szCs w:val="22"/>
          <w:shd w:val="clear" w:color="auto" w:fill="FFFFFF"/>
        </w:rPr>
        <w:t xml:space="preserve"> 201</w:t>
      </w:r>
      <w:r w:rsidR="00981C53">
        <w:rPr>
          <w:rFonts w:ascii="Times New Roman" w:eastAsia="Times New Roman" w:hAnsi="Times New Roman" w:cs="Times New Roman"/>
          <w:color w:val="212121"/>
          <w:sz w:val="22"/>
          <w:szCs w:val="22"/>
          <w:shd w:val="clear" w:color="auto" w:fill="FFFFFF"/>
        </w:rPr>
        <w:t>3/14</w:t>
      </w:r>
      <w:r w:rsidR="00EC287C">
        <w:rPr>
          <w:rFonts w:ascii="Times New Roman" w:eastAsia="Times New Roman" w:hAnsi="Times New Roman" w:cs="Times New Roman"/>
          <w:color w:val="212121"/>
          <w:sz w:val="22"/>
          <w:szCs w:val="22"/>
          <w:shd w:val="clear" w:color="auto" w:fill="FFFFFF"/>
        </w:rPr>
        <w:t xml:space="preserve">) and the remaining </w:t>
      </w:r>
      <w:r w:rsidR="0033348E">
        <w:rPr>
          <w:rFonts w:ascii="Times New Roman" w:eastAsia="Times New Roman" w:hAnsi="Times New Roman" w:cs="Times New Roman"/>
          <w:color w:val="212121"/>
          <w:sz w:val="22"/>
          <w:szCs w:val="22"/>
          <w:shd w:val="clear" w:color="auto" w:fill="FFFFFF"/>
        </w:rPr>
        <w:t xml:space="preserve">preintervention </w:t>
      </w:r>
      <w:r w:rsidR="00EC287C">
        <w:rPr>
          <w:rFonts w:ascii="Times New Roman" w:eastAsia="Times New Roman" w:hAnsi="Times New Roman" w:cs="Times New Roman"/>
          <w:color w:val="212121"/>
          <w:sz w:val="22"/>
          <w:szCs w:val="22"/>
          <w:shd w:val="clear" w:color="auto" w:fill="FFFFFF"/>
        </w:rPr>
        <w:t>time period (201</w:t>
      </w:r>
      <w:r w:rsidR="00981C53">
        <w:rPr>
          <w:rFonts w:ascii="Times New Roman" w:eastAsia="Times New Roman" w:hAnsi="Times New Roman" w:cs="Times New Roman"/>
          <w:color w:val="212121"/>
          <w:sz w:val="22"/>
          <w:szCs w:val="22"/>
          <w:shd w:val="clear" w:color="auto" w:fill="FFFFFF"/>
        </w:rPr>
        <w:t>4/15</w:t>
      </w:r>
      <w:r w:rsidR="00EC287C">
        <w:rPr>
          <w:rFonts w:ascii="Times New Roman" w:eastAsia="Times New Roman" w:hAnsi="Times New Roman" w:cs="Times New Roman"/>
          <w:color w:val="212121"/>
          <w:sz w:val="22"/>
          <w:szCs w:val="22"/>
          <w:shd w:val="clear" w:color="auto" w:fill="FFFFFF"/>
        </w:rPr>
        <w:t xml:space="preserve"> </w:t>
      </w:r>
      <w:r w:rsidR="00981C53">
        <w:rPr>
          <w:rFonts w:ascii="Times New Roman" w:eastAsia="Times New Roman" w:hAnsi="Times New Roman" w:cs="Times New Roman"/>
          <w:color w:val="212121"/>
          <w:sz w:val="22"/>
          <w:szCs w:val="22"/>
          <w:shd w:val="clear" w:color="auto" w:fill="FFFFFF"/>
        </w:rPr>
        <w:t>–</w:t>
      </w:r>
      <w:r w:rsidR="00EC287C">
        <w:rPr>
          <w:rFonts w:ascii="Times New Roman" w:eastAsia="Times New Roman" w:hAnsi="Times New Roman" w:cs="Times New Roman"/>
          <w:color w:val="212121"/>
          <w:sz w:val="22"/>
          <w:szCs w:val="22"/>
          <w:shd w:val="clear" w:color="auto" w:fill="FFFFFF"/>
        </w:rPr>
        <w:t xml:space="preserve"> 201</w:t>
      </w:r>
      <w:r w:rsidR="00981C53">
        <w:rPr>
          <w:rFonts w:ascii="Times New Roman" w:eastAsia="Times New Roman" w:hAnsi="Times New Roman" w:cs="Times New Roman"/>
          <w:color w:val="212121"/>
          <w:sz w:val="22"/>
          <w:szCs w:val="22"/>
          <w:shd w:val="clear" w:color="auto" w:fill="FFFFFF"/>
        </w:rPr>
        <w:t>5/16</w:t>
      </w:r>
      <w:r w:rsidR="00EC287C">
        <w:rPr>
          <w:rFonts w:ascii="Times New Roman" w:eastAsia="Times New Roman" w:hAnsi="Times New Roman" w:cs="Times New Roman"/>
          <w:color w:val="212121"/>
          <w:sz w:val="22"/>
          <w:szCs w:val="22"/>
          <w:shd w:val="clear" w:color="auto" w:fill="FFFFFF"/>
        </w:rPr>
        <w:t>) to test the model</w:t>
      </w:r>
      <w:r>
        <w:rPr>
          <w:rFonts w:ascii="Times New Roman" w:eastAsia="Times New Roman" w:hAnsi="Times New Roman" w:cs="Times New Roman"/>
          <w:color w:val="212121"/>
          <w:sz w:val="22"/>
          <w:szCs w:val="22"/>
          <w:shd w:val="clear" w:color="auto" w:fill="FFFFFF"/>
        </w:rPr>
        <w:t>.</w:t>
      </w:r>
      <w:r w:rsidR="00AE58F7">
        <w:rPr>
          <w:rFonts w:ascii="Times New Roman" w:hAnsi="Times New Roman" w:cs="Times New Roman"/>
          <w:sz w:val="22"/>
          <w:szCs w:val="22"/>
        </w:rPr>
        <w:t xml:space="preserve"> </w:t>
      </w:r>
    </w:p>
    <w:p w14:paraId="596EABAB" w14:textId="406F7389" w:rsidR="00AF1DA6" w:rsidRDefault="00AF1DA6" w:rsidP="00AE58F7">
      <w:pPr>
        <w:ind w:left="720"/>
        <w:jc w:val="both"/>
        <w:rPr>
          <w:rFonts w:ascii="Times New Roman" w:hAnsi="Times New Roman" w:cs="Times New Roman"/>
          <w:sz w:val="22"/>
          <w:szCs w:val="22"/>
        </w:rPr>
      </w:pPr>
    </w:p>
    <w:tbl>
      <w:tblPr>
        <w:tblW w:w="5215" w:type="dxa"/>
        <w:jc w:val="center"/>
        <w:tblLook w:val="04A0" w:firstRow="1" w:lastRow="0" w:firstColumn="1" w:lastColumn="0" w:noHBand="0" w:noVBand="1"/>
      </w:tblPr>
      <w:tblGrid>
        <w:gridCol w:w="535"/>
        <w:gridCol w:w="3376"/>
        <w:gridCol w:w="1304"/>
      </w:tblGrid>
      <w:tr w:rsidR="00981C53" w:rsidRPr="00B779B8" w14:paraId="3922FCFD" w14:textId="77777777" w:rsidTr="00981C53">
        <w:trPr>
          <w:trHeight w:val="173"/>
          <w:jc w:val="center"/>
        </w:trPr>
        <w:tc>
          <w:tcPr>
            <w:tcW w:w="535" w:type="dxa"/>
            <w:tcBorders>
              <w:top w:val="single" w:sz="4" w:space="0" w:color="000000"/>
              <w:left w:val="single" w:sz="4" w:space="0" w:color="000000"/>
              <w:bottom w:val="single" w:sz="8" w:space="0" w:color="000000"/>
              <w:right w:val="single" w:sz="4" w:space="0" w:color="000000"/>
            </w:tcBorders>
            <w:shd w:val="clear" w:color="auto" w:fill="auto"/>
            <w:noWrap/>
            <w:hideMark/>
          </w:tcPr>
          <w:p w14:paraId="16BC7E3A" w14:textId="77777777" w:rsidR="00981C53" w:rsidRPr="00B779B8" w:rsidRDefault="00981C53" w:rsidP="00981C53">
            <w:pPr>
              <w:jc w:val="center"/>
              <w:rPr>
                <w:rFonts w:ascii="Times New Roman" w:eastAsia="Times New Roman" w:hAnsi="Times New Roman" w:cs="Times New Roman"/>
                <w:b/>
                <w:bCs/>
                <w:color w:val="000000"/>
                <w:sz w:val="20"/>
                <w:szCs w:val="20"/>
              </w:rPr>
            </w:pPr>
            <w:r w:rsidRPr="00B779B8">
              <w:rPr>
                <w:rFonts w:ascii="Times New Roman" w:eastAsia="Times New Roman" w:hAnsi="Times New Roman" w:cs="Times New Roman"/>
                <w:b/>
                <w:bCs/>
                <w:color w:val="000000"/>
                <w:sz w:val="20"/>
                <w:szCs w:val="20"/>
              </w:rPr>
              <w:t>No.</w:t>
            </w:r>
          </w:p>
        </w:tc>
        <w:tc>
          <w:tcPr>
            <w:tcW w:w="3376" w:type="dxa"/>
            <w:tcBorders>
              <w:top w:val="single" w:sz="4" w:space="0" w:color="000000"/>
              <w:left w:val="single" w:sz="4" w:space="0" w:color="000000"/>
              <w:bottom w:val="single" w:sz="8" w:space="0" w:color="000000"/>
              <w:right w:val="single" w:sz="4" w:space="0" w:color="000000"/>
            </w:tcBorders>
            <w:shd w:val="clear" w:color="auto" w:fill="auto"/>
            <w:noWrap/>
            <w:hideMark/>
          </w:tcPr>
          <w:p w14:paraId="584332A3" w14:textId="77777777" w:rsidR="00981C53" w:rsidRPr="00B779B8" w:rsidRDefault="00981C53" w:rsidP="00981C53">
            <w:pPr>
              <w:jc w:val="center"/>
              <w:rPr>
                <w:rFonts w:ascii="Times New Roman" w:eastAsia="Times New Roman" w:hAnsi="Times New Roman" w:cs="Times New Roman"/>
                <w:b/>
                <w:bCs/>
                <w:color w:val="000000"/>
                <w:sz w:val="20"/>
                <w:szCs w:val="20"/>
              </w:rPr>
            </w:pPr>
            <w:r w:rsidRPr="00B779B8">
              <w:rPr>
                <w:rFonts w:ascii="Times New Roman" w:eastAsia="Times New Roman" w:hAnsi="Times New Roman" w:cs="Times New Roman"/>
                <w:b/>
                <w:bCs/>
                <w:color w:val="000000"/>
                <w:sz w:val="20"/>
                <w:szCs w:val="20"/>
              </w:rPr>
              <w:t>Covariates</w:t>
            </w:r>
          </w:p>
        </w:tc>
        <w:tc>
          <w:tcPr>
            <w:tcW w:w="1304" w:type="dxa"/>
            <w:tcBorders>
              <w:top w:val="single" w:sz="4" w:space="0" w:color="000000"/>
              <w:left w:val="single" w:sz="4" w:space="0" w:color="000000"/>
              <w:bottom w:val="single" w:sz="8" w:space="0" w:color="000000"/>
              <w:right w:val="single" w:sz="4" w:space="0" w:color="000000"/>
            </w:tcBorders>
            <w:shd w:val="clear" w:color="auto" w:fill="auto"/>
            <w:noWrap/>
            <w:hideMark/>
          </w:tcPr>
          <w:p w14:paraId="0CC0011A" w14:textId="77777777" w:rsidR="00981C53" w:rsidRDefault="00981C53" w:rsidP="00981C53">
            <w:pPr>
              <w:jc w:val="center"/>
              <w:rPr>
                <w:rFonts w:ascii="Times New Roman" w:eastAsia="Times New Roman" w:hAnsi="Times New Roman" w:cs="Times New Roman"/>
                <w:b/>
                <w:bCs/>
                <w:color w:val="000000"/>
                <w:sz w:val="20"/>
                <w:szCs w:val="20"/>
              </w:rPr>
            </w:pPr>
            <w:r w:rsidRPr="00B779B8">
              <w:rPr>
                <w:rFonts w:ascii="Times New Roman" w:eastAsia="Times New Roman" w:hAnsi="Times New Roman" w:cs="Times New Roman"/>
                <w:b/>
                <w:bCs/>
                <w:color w:val="000000"/>
                <w:sz w:val="20"/>
                <w:szCs w:val="20"/>
              </w:rPr>
              <w:t>Test</w:t>
            </w:r>
            <w:r>
              <w:rPr>
                <w:rFonts w:ascii="Times New Roman" w:eastAsia="Times New Roman" w:hAnsi="Times New Roman" w:cs="Times New Roman"/>
                <w:b/>
                <w:bCs/>
                <w:color w:val="000000"/>
                <w:sz w:val="20"/>
                <w:szCs w:val="20"/>
              </w:rPr>
              <w:t xml:space="preserve"> error (RMSPE)</w:t>
            </w:r>
          </w:p>
          <w:p w14:paraId="24FA8091" w14:textId="3CEA8A14" w:rsidR="002C0247" w:rsidRPr="00B779B8" w:rsidRDefault="002C0247" w:rsidP="00981C53">
            <w:pPr>
              <w:jc w:val="center"/>
              <w:rPr>
                <w:rFonts w:ascii="Times New Roman" w:eastAsia="Times New Roman" w:hAnsi="Times New Roman" w:cs="Times New Roman"/>
                <w:b/>
                <w:bCs/>
                <w:color w:val="000000"/>
                <w:sz w:val="20"/>
                <w:szCs w:val="20"/>
              </w:rPr>
            </w:pPr>
          </w:p>
        </w:tc>
      </w:tr>
      <w:tr w:rsidR="00981C53" w:rsidRPr="00B779B8" w14:paraId="74710099" w14:textId="77777777" w:rsidTr="00F816BB">
        <w:trPr>
          <w:trHeight w:val="173"/>
          <w:jc w:val="center"/>
        </w:trPr>
        <w:tc>
          <w:tcPr>
            <w:tcW w:w="5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bottom"/>
            <w:hideMark/>
          </w:tcPr>
          <w:p w14:paraId="0E50463D"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1</w:t>
            </w:r>
          </w:p>
        </w:tc>
        <w:tc>
          <w:tcPr>
            <w:tcW w:w="33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bottom"/>
            <w:hideMark/>
          </w:tcPr>
          <w:p w14:paraId="38A33AD9" w14:textId="77777777" w:rsidR="00981C53" w:rsidRPr="00981C53" w:rsidRDefault="00981C53" w:rsidP="001319BA">
            <w:pPr>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No Previous Well child visit (%)</w:t>
            </w:r>
          </w:p>
        </w:tc>
        <w:tc>
          <w:tcPr>
            <w:tcW w:w="130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bottom"/>
            <w:hideMark/>
          </w:tcPr>
          <w:p w14:paraId="69156282"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hAnsi="Times New Roman" w:cs="Times New Roman"/>
                <w:color w:val="000000"/>
                <w:sz w:val="20"/>
                <w:szCs w:val="20"/>
              </w:rPr>
              <w:t>1.28</w:t>
            </w:r>
          </w:p>
        </w:tc>
      </w:tr>
      <w:tr w:rsidR="00981C53" w:rsidRPr="00B779B8" w14:paraId="325C2EEC" w14:textId="77777777" w:rsidTr="00F816BB">
        <w:trPr>
          <w:trHeight w:val="173"/>
          <w:jc w:val="center"/>
        </w:trPr>
        <w:tc>
          <w:tcPr>
            <w:tcW w:w="5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bottom"/>
            <w:hideMark/>
          </w:tcPr>
          <w:p w14:paraId="2E30D296"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2</w:t>
            </w:r>
          </w:p>
        </w:tc>
        <w:tc>
          <w:tcPr>
            <w:tcW w:w="33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bottom"/>
            <w:hideMark/>
          </w:tcPr>
          <w:p w14:paraId="220B98A4" w14:textId="77777777" w:rsidR="00981C53" w:rsidRPr="00981C53" w:rsidRDefault="00981C53" w:rsidP="001319BA">
            <w:pPr>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Uninsured (%)</w:t>
            </w:r>
          </w:p>
        </w:tc>
        <w:tc>
          <w:tcPr>
            <w:tcW w:w="130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bottom"/>
            <w:hideMark/>
          </w:tcPr>
          <w:p w14:paraId="31EB7E61"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hAnsi="Times New Roman" w:cs="Times New Roman"/>
                <w:color w:val="000000"/>
                <w:sz w:val="20"/>
                <w:szCs w:val="20"/>
              </w:rPr>
              <w:t>1.11</w:t>
            </w:r>
          </w:p>
        </w:tc>
      </w:tr>
      <w:tr w:rsidR="00981C53" w:rsidRPr="00B779B8" w14:paraId="639A82CE" w14:textId="77777777" w:rsidTr="00F816BB">
        <w:trPr>
          <w:trHeight w:val="173"/>
          <w:jc w:val="center"/>
        </w:trPr>
        <w:tc>
          <w:tcPr>
            <w:tcW w:w="5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bottom"/>
            <w:hideMark/>
          </w:tcPr>
          <w:p w14:paraId="1580EBDA"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3</w:t>
            </w:r>
          </w:p>
        </w:tc>
        <w:tc>
          <w:tcPr>
            <w:tcW w:w="33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bottom"/>
            <w:hideMark/>
          </w:tcPr>
          <w:p w14:paraId="0DE4D50D" w14:textId="77777777" w:rsidR="00981C53" w:rsidRPr="00981C53" w:rsidRDefault="00981C53" w:rsidP="001319BA">
            <w:pPr>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No Consistent Coverage (%)</w:t>
            </w:r>
          </w:p>
        </w:tc>
        <w:tc>
          <w:tcPr>
            <w:tcW w:w="130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bottom"/>
            <w:hideMark/>
          </w:tcPr>
          <w:p w14:paraId="1ECE18CF"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hAnsi="Times New Roman" w:cs="Times New Roman"/>
                <w:color w:val="000000"/>
                <w:sz w:val="20"/>
                <w:szCs w:val="20"/>
              </w:rPr>
              <w:t>1.06</w:t>
            </w:r>
          </w:p>
        </w:tc>
      </w:tr>
      <w:tr w:rsidR="00981C53" w:rsidRPr="00B779B8" w14:paraId="7CEB7E3B" w14:textId="77777777" w:rsidTr="00F816BB">
        <w:trPr>
          <w:trHeight w:val="173"/>
          <w:jc w:val="center"/>
        </w:trPr>
        <w:tc>
          <w:tcPr>
            <w:tcW w:w="5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bottom"/>
            <w:hideMark/>
          </w:tcPr>
          <w:p w14:paraId="39990F39"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4</w:t>
            </w:r>
          </w:p>
        </w:tc>
        <w:tc>
          <w:tcPr>
            <w:tcW w:w="33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bottom"/>
            <w:hideMark/>
          </w:tcPr>
          <w:p w14:paraId="3FE9D73F" w14:textId="77777777" w:rsidR="00981C53" w:rsidRPr="00981C53" w:rsidRDefault="00981C53" w:rsidP="001319BA">
            <w:pPr>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Private Insurance (%)</w:t>
            </w:r>
          </w:p>
        </w:tc>
        <w:tc>
          <w:tcPr>
            <w:tcW w:w="130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bottom"/>
            <w:hideMark/>
          </w:tcPr>
          <w:p w14:paraId="08F3680D"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hAnsi="Times New Roman" w:cs="Times New Roman"/>
                <w:color w:val="000000"/>
                <w:sz w:val="20"/>
                <w:szCs w:val="20"/>
              </w:rPr>
              <w:t>0.83</w:t>
            </w:r>
          </w:p>
        </w:tc>
      </w:tr>
      <w:tr w:rsidR="00981C53" w:rsidRPr="00B779B8" w14:paraId="0836B42D" w14:textId="77777777" w:rsidTr="00981C53">
        <w:trPr>
          <w:trHeight w:val="173"/>
          <w:jc w:val="center"/>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569085"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5</w:t>
            </w:r>
          </w:p>
        </w:tc>
        <w:tc>
          <w:tcPr>
            <w:tcW w:w="33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F33E85" w14:textId="77777777" w:rsidR="00981C53" w:rsidRPr="00981C53" w:rsidRDefault="00981C53" w:rsidP="001319BA">
            <w:pPr>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Per Capita Health ($)</w:t>
            </w:r>
          </w:p>
        </w:tc>
        <w:tc>
          <w:tcPr>
            <w:tcW w:w="13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B24611"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hAnsi="Times New Roman" w:cs="Times New Roman"/>
                <w:color w:val="000000"/>
                <w:sz w:val="20"/>
                <w:szCs w:val="20"/>
              </w:rPr>
              <w:t>0.95</w:t>
            </w:r>
          </w:p>
        </w:tc>
      </w:tr>
      <w:tr w:rsidR="00981C53" w:rsidRPr="00B779B8" w14:paraId="45DF7637" w14:textId="77777777" w:rsidTr="00981C53">
        <w:trPr>
          <w:trHeight w:val="173"/>
          <w:jc w:val="center"/>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AAC617"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6</w:t>
            </w:r>
          </w:p>
        </w:tc>
        <w:tc>
          <w:tcPr>
            <w:tcW w:w="33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7E2C7B" w14:textId="77777777" w:rsidR="00981C53" w:rsidRPr="00981C53" w:rsidRDefault="00981C53" w:rsidP="001319BA">
            <w:pPr>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Population (No.)</w:t>
            </w:r>
          </w:p>
        </w:tc>
        <w:tc>
          <w:tcPr>
            <w:tcW w:w="13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7D5981"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hAnsi="Times New Roman" w:cs="Times New Roman"/>
                <w:color w:val="000000"/>
                <w:sz w:val="20"/>
                <w:szCs w:val="20"/>
              </w:rPr>
              <w:t>0.95</w:t>
            </w:r>
          </w:p>
        </w:tc>
      </w:tr>
      <w:tr w:rsidR="00981C53" w:rsidRPr="00B779B8" w14:paraId="2134D23C" w14:textId="77777777" w:rsidTr="00981C53">
        <w:trPr>
          <w:trHeight w:val="173"/>
          <w:jc w:val="center"/>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C6F958"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7</w:t>
            </w:r>
          </w:p>
        </w:tc>
        <w:tc>
          <w:tcPr>
            <w:tcW w:w="33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5864E1" w14:textId="77777777" w:rsidR="00981C53" w:rsidRPr="00981C53" w:rsidRDefault="00981C53" w:rsidP="001319BA">
            <w:pPr>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Children with No Insurance (%)</w:t>
            </w:r>
          </w:p>
        </w:tc>
        <w:tc>
          <w:tcPr>
            <w:tcW w:w="13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23099D"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hAnsi="Times New Roman" w:cs="Times New Roman"/>
                <w:color w:val="000000"/>
                <w:sz w:val="20"/>
                <w:szCs w:val="20"/>
              </w:rPr>
              <w:t>0.78</w:t>
            </w:r>
          </w:p>
        </w:tc>
      </w:tr>
      <w:tr w:rsidR="00981C53" w:rsidRPr="00B779B8" w14:paraId="6E4B4C39" w14:textId="77777777" w:rsidTr="00981C53">
        <w:trPr>
          <w:trHeight w:val="173"/>
          <w:jc w:val="center"/>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720791"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8</w:t>
            </w:r>
          </w:p>
        </w:tc>
        <w:tc>
          <w:tcPr>
            <w:tcW w:w="33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98E8E4" w14:textId="77777777" w:rsidR="00981C53" w:rsidRPr="00981C53" w:rsidRDefault="00981C53" w:rsidP="001319BA">
            <w:pPr>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Live Rural (%)</w:t>
            </w:r>
          </w:p>
        </w:tc>
        <w:tc>
          <w:tcPr>
            <w:tcW w:w="13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2B5AE7"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hAnsi="Times New Roman" w:cs="Times New Roman"/>
                <w:color w:val="000000"/>
                <w:sz w:val="20"/>
                <w:szCs w:val="20"/>
              </w:rPr>
              <w:t>0.79</w:t>
            </w:r>
          </w:p>
        </w:tc>
      </w:tr>
      <w:tr w:rsidR="00981C53" w:rsidRPr="00B779B8" w14:paraId="784E4599" w14:textId="77777777" w:rsidTr="00981C53">
        <w:trPr>
          <w:trHeight w:val="173"/>
          <w:jc w:val="center"/>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B80DA8"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9</w:t>
            </w:r>
          </w:p>
        </w:tc>
        <w:tc>
          <w:tcPr>
            <w:tcW w:w="33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F0D60E" w14:textId="77777777" w:rsidR="00981C53" w:rsidRPr="00981C53" w:rsidRDefault="00981C53" w:rsidP="001319BA">
            <w:pPr>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Median Income ($)</w:t>
            </w:r>
          </w:p>
        </w:tc>
        <w:tc>
          <w:tcPr>
            <w:tcW w:w="13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07968"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hAnsi="Times New Roman" w:cs="Times New Roman"/>
                <w:color w:val="000000"/>
                <w:sz w:val="20"/>
                <w:szCs w:val="20"/>
              </w:rPr>
              <w:t>1.00</w:t>
            </w:r>
          </w:p>
        </w:tc>
      </w:tr>
      <w:tr w:rsidR="00981C53" w:rsidRPr="00B779B8" w14:paraId="7617029C" w14:textId="77777777" w:rsidTr="00981C53">
        <w:trPr>
          <w:trHeight w:val="173"/>
          <w:jc w:val="center"/>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D0EEF9"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10</w:t>
            </w:r>
          </w:p>
        </w:tc>
        <w:tc>
          <w:tcPr>
            <w:tcW w:w="33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6CB1FC" w14:textId="77777777" w:rsidR="00981C53" w:rsidRPr="00981C53" w:rsidRDefault="00981C53" w:rsidP="001319BA">
            <w:pPr>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Married (%)</w:t>
            </w:r>
          </w:p>
        </w:tc>
        <w:tc>
          <w:tcPr>
            <w:tcW w:w="13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F4B6D5"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hAnsi="Times New Roman" w:cs="Times New Roman"/>
                <w:color w:val="000000"/>
                <w:sz w:val="20"/>
                <w:szCs w:val="20"/>
              </w:rPr>
              <w:t>1.33</w:t>
            </w:r>
          </w:p>
        </w:tc>
      </w:tr>
      <w:tr w:rsidR="00981C53" w:rsidRPr="00B779B8" w14:paraId="4F91C131" w14:textId="77777777" w:rsidTr="00981C53">
        <w:trPr>
          <w:trHeight w:val="173"/>
          <w:jc w:val="center"/>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CC16FA"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11</w:t>
            </w:r>
          </w:p>
        </w:tc>
        <w:tc>
          <w:tcPr>
            <w:tcW w:w="33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9A5BDA" w14:textId="77777777" w:rsidR="00981C53" w:rsidRPr="00981C53" w:rsidRDefault="00981C53" w:rsidP="001319BA">
            <w:pPr>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Bachelor’s Degree or Higher (%)</w:t>
            </w:r>
          </w:p>
        </w:tc>
        <w:tc>
          <w:tcPr>
            <w:tcW w:w="13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C26462"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hAnsi="Times New Roman" w:cs="Times New Roman"/>
                <w:color w:val="000000"/>
                <w:sz w:val="20"/>
                <w:szCs w:val="20"/>
              </w:rPr>
              <w:t>1.19</w:t>
            </w:r>
          </w:p>
        </w:tc>
      </w:tr>
      <w:tr w:rsidR="00981C53" w:rsidRPr="00B779B8" w14:paraId="024564D8" w14:textId="77777777" w:rsidTr="00981C53">
        <w:trPr>
          <w:trHeight w:val="173"/>
          <w:jc w:val="center"/>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AD5A7B"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12</w:t>
            </w:r>
          </w:p>
        </w:tc>
        <w:tc>
          <w:tcPr>
            <w:tcW w:w="33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4E6D2" w14:textId="77777777" w:rsidR="00981C53" w:rsidRPr="00981C53" w:rsidRDefault="00981C53" w:rsidP="001319BA">
            <w:pPr>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High School or Higher (%)</w:t>
            </w:r>
          </w:p>
        </w:tc>
        <w:tc>
          <w:tcPr>
            <w:tcW w:w="13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C7BA5D"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hAnsi="Times New Roman" w:cs="Times New Roman"/>
                <w:color w:val="000000"/>
                <w:sz w:val="20"/>
                <w:szCs w:val="20"/>
              </w:rPr>
              <w:t>1.22</w:t>
            </w:r>
          </w:p>
        </w:tc>
      </w:tr>
      <w:tr w:rsidR="00981C53" w:rsidRPr="00B779B8" w14:paraId="598B6F01" w14:textId="77777777" w:rsidTr="00981C53">
        <w:trPr>
          <w:trHeight w:val="173"/>
          <w:jc w:val="center"/>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3A6AE4"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13</w:t>
            </w:r>
          </w:p>
        </w:tc>
        <w:tc>
          <w:tcPr>
            <w:tcW w:w="33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37E0D" w14:textId="77777777" w:rsidR="00981C53" w:rsidRPr="00981C53" w:rsidRDefault="00981C53" w:rsidP="001319BA">
            <w:pPr>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Median Age (</w:t>
            </w:r>
            <w:proofErr w:type="spellStart"/>
            <w:r w:rsidRPr="00981C53">
              <w:rPr>
                <w:rFonts w:ascii="Times New Roman" w:eastAsia="Times New Roman" w:hAnsi="Times New Roman" w:cs="Times New Roman"/>
                <w:color w:val="000000"/>
                <w:sz w:val="20"/>
                <w:szCs w:val="20"/>
              </w:rPr>
              <w:t>yrs</w:t>
            </w:r>
            <w:proofErr w:type="spellEnd"/>
            <w:r w:rsidRPr="00981C53">
              <w:rPr>
                <w:rFonts w:ascii="Times New Roman" w:eastAsia="Times New Roman" w:hAnsi="Times New Roman" w:cs="Times New Roman"/>
                <w:color w:val="000000"/>
                <w:sz w:val="20"/>
                <w:szCs w:val="20"/>
              </w:rPr>
              <w:t>)</w:t>
            </w:r>
          </w:p>
        </w:tc>
        <w:tc>
          <w:tcPr>
            <w:tcW w:w="13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A7A5AC"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hAnsi="Times New Roman" w:cs="Times New Roman"/>
                <w:color w:val="000000"/>
                <w:sz w:val="20"/>
                <w:szCs w:val="20"/>
              </w:rPr>
              <w:t>1.19</w:t>
            </w:r>
          </w:p>
        </w:tc>
      </w:tr>
      <w:tr w:rsidR="00981C53" w:rsidRPr="00B779B8" w14:paraId="22DD099D" w14:textId="77777777" w:rsidTr="00981C53">
        <w:trPr>
          <w:trHeight w:val="173"/>
          <w:jc w:val="center"/>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2E6A0E"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14</w:t>
            </w:r>
          </w:p>
        </w:tc>
        <w:tc>
          <w:tcPr>
            <w:tcW w:w="33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A77C1E" w14:textId="77777777" w:rsidR="00981C53" w:rsidRPr="00981C53" w:rsidRDefault="00981C53" w:rsidP="001319BA">
            <w:pPr>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Below Poverty (%)</w:t>
            </w:r>
          </w:p>
        </w:tc>
        <w:tc>
          <w:tcPr>
            <w:tcW w:w="13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516D5A"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hAnsi="Times New Roman" w:cs="Times New Roman"/>
                <w:color w:val="000000"/>
                <w:sz w:val="20"/>
                <w:szCs w:val="20"/>
              </w:rPr>
              <w:t>1.19</w:t>
            </w:r>
          </w:p>
        </w:tc>
      </w:tr>
      <w:tr w:rsidR="00981C53" w:rsidRPr="00B779B8" w14:paraId="0B58C0F6" w14:textId="77777777" w:rsidTr="00981C53">
        <w:trPr>
          <w:trHeight w:val="173"/>
          <w:jc w:val="center"/>
        </w:trPr>
        <w:tc>
          <w:tcPr>
            <w:tcW w:w="5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C67F70"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15</w:t>
            </w:r>
          </w:p>
        </w:tc>
        <w:tc>
          <w:tcPr>
            <w:tcW w:w="33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13B665" w14:textId="77777777" w:rsidR="00981C53" w:rsidRPr="00981C53" w:rsidRDefault="00981C53" w:rsidP="001319BA">
            <w:pPr>
              <w:rPr>
                <w:rFonts w:ascii="Times New Roman" w:eastAsia="Times New Roman" w:hAnsi="Times New Roman" w:cs="Times New Roman"/>
                <w:color w:val="000000"/>
                <w:sz w:val="20"/>
                <w:szCs w:val="20"/>
              </w:rPr>
            </w:pPr>
            <w:r w:rsidRPr="00981C53">
              <w:rPr>
                <w:rFonts w:ascii="Times New Roman" w:eastAsia="Times New Roman" w:hAnsi="Times New Roman" w:cs="Times New Roman"/>
                <w:color w:val="000000"/>
                <w:sz w:val="20"/>
                <w:szCs w:val="20"/>
              </w:rPr>
              <w:t>White (%)</w:t>
            </w:r>
          </w:p>
        </w:tc>
        <w:tc>
          <w:tcPr>
            <w:tcW w:w="13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48F7D6" w14:textId="77777777" w:rsidR="00981C53" w:rsidRPr="00981C53" w:rsidRDefault="00981C53" w:rsidP="001319BA">
            <w:pPr>
              <w:jc w:val="right"/>
              <w:rPr>
                <w:rFonts w:ascii="Times New Roman" w:eastAsia="Times New Roman" w:hAnsi="Times New Roman" w:cs="Times New Roman"/>
                <w:color w:val="000000"/>
                <w:sz w:val="20"/>
                <w:szCs w:val="20"/>
              </w:rPr>
            </w:pPr>
            <w:r w:rsidRPr="00981C53">
              <w:rPr>
                <w:rFonts w:ascii="Times New Roman" w:hAnsi="Times New Roman" w:cs="Times New Roman"/>
                <w:color w:val="000000"/>
                <w:sz w:val="20"/>
                <w:szCs w:val="20"/>
              </w:rPr>
              <w:t>2.14</w:t>
            </w:r>
          </w:p>
        </w:tc>
      </w:tr>
    </w:tbl>
    <w:p w14:paraId="49EB81AA" w14:textId="77777777" w:rsidR="00981C53" w:rsidRPr="00981C53" w:rsidRDefault="00981C53" w:rsidP="00981C53">
      <w:pPr>
        <w:ind w:left="720"/>
        <w:rPr>
          <w:rFonts w:ascii="Times New Roman" w:eastAsia="Times New Roman" w:hAnsi="Times New Roman" w:cs="Times New Roman"/>
          <w:b/>
          <w:color w:val="212121"/>
          <w:sz w:val="10"/>
          <w:szCs w:val="10"/>
          <w:shd w:val="clear" w:color="auto" w:fill="FFFFFF"/>
        </w:rPr>
      </w:pPr>
    </w:p>
    <w:p w14:paraId="02DBB737" w14:textId="4F21A432" w:rsidR="00981C53" w:rsidRPr="00D15227" w:rsidRDefault="00981C53" w:rsidP="00981C53">
      <w:pPr>
        <w:ind w:left="720"/>
        <w:rPr>
          <w:rFonts w:ascii="Times New Roman" w:eastAsia="Times New Roman" w:hAnsi="Times New Roman" w:cs="Times New Roman"/>
          <w:b/>
          <w:color w:val="212121"/>
          <w:sz w:val="22"/>
          <w:szCs w:val="22"/>
          <w:shd w:val="clear" w:color="auto" w:fill="FFFFFF"/>
        </w:rPr>
      </w:pPr>
      <w:r w:rsidRPr="00D15227">
        <w:rPr>
          <w:rFonts w:ascii="Times New Roman" w:eastAsia="Times New Roman" w:hAnsi="Times New Roman" w:cs="Times New Roman"/>
          <w:b/>
          <w:color w:val="212121"/>
          <w:sz w:val="22"/>
          <w:szCs w:val="22"/>
          <w:shd w:val="clear" w:color="auto" w:fill="FFFFFF"/>
        </w:rPr>
        <w:t>Ta</w:t>
      </w:r>
      <w:r w:rsidR="00454B74">
        <w:rPr>
          <w:rFonts w:ascii="Times New Roman" w:eastAsia="Times New Roman" w:hAnsi="Times New Roman" w:cs="Times New Roman"/>
          <w:b/>
          <w:color w:val="212121"/>
          <w:sz w:val="22"/>
          <w:szCs w:val="22"/>
          <w:shd w:val="clear" w:color="auto" w:fill="FFFFFF"/>
        </w:rPr>
        <w:t>ble</w:t>
      </w:r>
      <w:r w:rsidRPr="00D15227">
        <w:rPr>
          <w:rFonts w:ascii="Times New Roman" w:eastAsia="Times New Roman" w:hAnsi="Times New Roman" w:cs="Times New Roman"/>
          <w:b/>
          <w:color w:val="212121"/>
          <w:sz w:val="22"/>
          <w:szCs w:val="22"/>
          <w:shd w:val="clear" w:color="auto" w:fill="FFFFFF"/>
        </w:rPr>
        <w:t xml:space="preserve"> 1: Test RMSPE values. </w:t>
      </w:r>
    </w:p>
    <w:p w14:paraId="421072AD" w14:textId="111D6374" w:rsidR="00981C53" w:rsidRDefault="00981C53" w:rsidP="00981C53">
      <w:pPr>
        <w:ind w:left="720"/>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Difference between the vaccine coverage values of the resulting synthetic control and California for the testing years</w:t>
      </w:r>
      <w:r w:rsidR="00454B74">
        <w:rPr>
          <w:rFonts w:ascii="Times New Roman" w:eastAsia="Times New Roman" w:hAnsi="Times New Roman" w:cs="Times New Roman"/>
          <w:color w:val="212121"/>
          <w:sz w:val="22"/>
          <w:szCs w:val="22"/>
          <w:shd w:val="clear" w:color="auto" w:fill="FFFFFF"/>
        </w:rPr>
        <w:t xml:space="preserve"> (</w:t>
      </w:r>
      <w:r>
        <w:rPr>
          <w:rFonts w:ascii="Times New Roman" w:eastAsia="Times New Roman" w:hAnsi="Times New Roman" w:cs="Times New Roman"/>
          <w:color w:val="212121"/>
          <w:sz w:val="22"/>
          <w:szCs w:val="22"/>
          <w:shd w:val="clear" w:color="auto" w:fill="FFFFFF"/>
        </w:rPr>
        <w:t xml:space="preserve">2014/15 </w:t>
      </w:r>
      <w:r w:rsidR="00454B74">
        <w:rPr>
          <w:rFonts w:ascii="Times New Roman" w:eastAsia="Times New Roman" w:hAnsi="Times New Roman" w:cs="Times New Roman"/>
          <w:color w:val="212121"/>
          <w:sz w:val="22"/>
          <w:szCs w:val="22"/>
          <w:shd w:val="clear" w:color="auto" w:fill="FFFFFF"/>
        </w:rPr>
        <w:t>-</w:t>
      </w:r>
      <w:r>
        <w:rPr>
          <w:rFonts w:ascii="Times New Roman" w:eastAsia="Times New Roman" w:hAnsi="Times New Roman" w:cs="Times New Roman"/>
          <w:color w:val="212121"/>
          <w:sz w:val="22"/>
          <w:szCs w:val="22"/>
          <w:shd w:val="clear" w:color="auto" w:fill="FFFFFF"/>
        </w:rPr>
        <w:t xml:space="preserve"> 2015/16</w:t>
      </w:r>
      <w:r w:rsidR="00454B74">
        <w:rPr>
          <w:rFonts w:ascii="Times New Roman" w:eastAsia="Times New Roman" w:hAnsi="Times New Roman" w:cs="Times New Roman"/>
          <w:color w:val="212121"/>
          <w:sz w:val="22"/>
          <w:szCs w:val="22"/>
          <w:shd w:val="clear" w:color="auto" w:fill="FFFFFF"/>
        </w:rPr>
        <w:t>)</w:t>
      </w:r>
      <w:r>
        <w:rPr>
          <w:rFonts w:ascii="Times New Roman" w:eastAsia="Times New Roman" w:hAnsi="Times New Roman" w:cs="Times New Roman"/>
          <w:color w:val="212121"/>
          <w:sz w:val="22"/>
          <w:szCs w:val="22"/>
          <w:shd w:val="clear" w:color="auto" w:fill="FFFFFF"/>
        </w:rPr>
        <w:t xml:space="preserve"> for a model trained on 2011/12 – 2013/14 data.</w:t>
      </w:r>
    </w:p>
    <w:p w14:paraId="2F7D0127" w14:textId="69A20EDB" w:rsidR="004E220F" w:rsidRDefault="004E220F" w:rsidP="00981C53">
      <w:pPr>
        <w:ind w:left="720"/>
        <w:rPr>
          <w:rFonts w:ascii="Times New Roman" w:eastAsia="Times New Roman" w:hAnsi="Times New Roman" w:cs="Times New Roman"/>
          <w:color w:val="212121"/>
          <w:sz w:val="22"/>
          <w:szCs w:val="22"/>
          <w:shd w:val="clear" w:color="auto" w:fill="FFFFFF"/>
        </w:rPr>
      </w:pPr>
    </w:p>
    <w:p w14:paraId="4E7A923C" w14:textId="5F804B26" w:rsidR="00454B74" w:rsidRPr="00F816BB" w:rsidRDefault="00F816BB" w:rsidP="00F816BB">
      <w:pPr>
        <w:ind w:left="720"/>
        <w:jc w:val="cente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noProof/>
          <w:color w:val="212121"/>
          <w:sz w:val="22"/>
          <w:szCs w:val="22"/>
          <w:shd w:val="clear" w:color="auto" w:fill="FFFFFF"/>
        </w:rPr>
        <w:drawing>
          <wp:inline distT="0" distB="0" distL="0" distR="0" wp14:anchorId="15EFABB1" wp14:editId="7CE3C016">
            <wp:extent cx="5026067" cy="303550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riable Selection Plot.eps"/>
                    <pic:cNvPicPr/>
                  </pic:nvPicPr>
                  <pic:blipFill>
                    <a:blip r:embed="rId6"/>
                    <a:stretch>
                      <a:fillRect/>
                    </a:stretch>
                  </pic:blipFill>
                  <pic:spPr>
                    <a:xfrm>
                      <a:off x="0" y="0"/>
                      <a:ext cx="5044997" cy="3046941"/>
                    </a:xfrm>
                    <a:prstGeom prst="rect">
                      <a:avLst/>
                    </a:prstGeom>
                  </pic:spPr>
                </pic:pic>
              </a:graphicData>
            </a:graphic>
          </wp:inline>
        </w:drawing>
      </w:r>
    </w:p>
    <w:p w14:paraId="4F48E9E1" w14:textId="01D44879" w:rsidR="00454B74" w:rsidRDefault="00454B74" w:rsidP="00454B74">
      <w:pPr>
        <w:ind w:left="720"/>
        <w:rPr>
          <w:rFonts w:ascii="Times New Roman" w:eastAsia="Times New Roman" w:hAnsi="Times New Roman" w:cs="Times New Roman"/>
          <w:b/>
          <w:color w:val="212121"/>
          <w:sz w:val="22"/>
          <w:szCs w:val="22"/>
          <w:shd w:val="clear" w:color="auto" w:fill="FFFFFF"/>
        </w:rPr>
      </w:pPr>
      <w:r w:rsidRPr="00D15227">
        <w:rPr>
          <w:rFonts w:ascii="Times New Roman" w:eastAsia="Times New Roman" w:hAnsi="Times New Roman" w:cs="Times New Roman"/>
          <w:b/>
          <w:color w:val="212121"/>
          <w:sz w:val="22"/>
          <w:szCs w:val="22"/>
          <w:shd w:val="clear" w:color="auto" w:fill="FFFFFF"/>
        </w:rPr>
        <w:t>Fig</w:t>
      </w:r>
      <w:r>
        <w:rPr>
          <w:rFonts w:ascii="Times New Roman" w:eastAsia="Times New Roman" w:hAnsi="Times New Roman" w:cs="Times New Roman"/>
          <w:b/>
          <w:color w:val="212121"/>
          <w:sz w:val="22"/>
          <w:szCs w:val="22"/>
          <w:shd w:val="clear" w:color="auto" w:fill="FFFFFF"/>
        </w:rPr>
        <w:t>ure</w:t>
      </w:r>
      <w:r w:rsidRPr="00D15227">
        <w:rPr>
          <w:rFonts w:ascii="Times New Roman" w:eastAsia="Times New Roman" w:hAnsi="Times New Roman" w:cs="Times New Roman"/>
          <w:b/>
          <w:color w:val="212121"/>
          <w:sz w:val="22"/>
          <w:szCs w:val="22"/>
          <w:shd w:val="clear" w:color="auto" w:fill="FFFFFF"/>
        </w:rPr>
        <w:t xml:space="preserve"> 1. RMSPE values. </w:t>
      </w:r>
    </w:p>
    <w:p w14:paraId="3B412DA9" w14:textId="77777777" w:rsidR="00454B74" w:rsidRDefault="00454B74" w:rsidP="00454B74">
      <w:pPr>
        <w:ind w:left="720"/>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The first 4 covariates and the Average Lag value for the preintervention outcome are included as covariates based on where the inflexion points of RMPSE minimization.</w:t>
      </w:r>
    </w:p>
    <w:p w14:paraId="36B3CE92" w14:textId="77777777" w:rsidR="00981C53" w:rsidRDefault="00981C53" w:rsidP="00454B74">
      <w:pPr>
        <w:jc w:val="both"/>
        <w:rPr>
          <w:rFonts w:ascii="Times New Roman" w:hAnsi="Times New Roman" w:cs="Times New Roman"/>
          <w:sz w:val="22"/>
          <w:szCs w:val="22"/>
        </w:rPr>
      </w:pPr>
    </w:p>
    <w:p w14:paraId="18FE58F1" w14:textId="2859467D" w:rsidR="00454B74" w:rsidRPr="00454B74" w:rsidRDefault="00AF1DA6" w:rsidP="00454B74">
      <w:pPr>
        <w:ind w:left="720"/>
        <w:jc w:val="both"/>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Table 1 shows the initial set of covariates suggested for inclusion in the model as well as the RMSPE associated with a model that includes the given variable and every variable prior. Fig</w:t>
      </w:r>
      <w:r w:rsidR="00981C53">
        <w:rPr>
          <w:rFonts w:ascii="Times New Roman" w:eastAsia="Times New Roman" w:hAnsi="Times New Roman" w:cs="Times New Roman"/>
          <w:color w:val="212121"/>
          <w:sz w:val="22"/>
          <w:szCs w:val="22"/>
          <w:shd w:val="clear" w:color="auto" w:fill="FFFFFF"/>
        </w:rPr>
        <w:t>.</w:t>
      </w:r>
      <w:r>
        <w:rPr>
          <w:rFonts w:ascii="Times New Roman" w:eastAsia="Times New Roman" w:hAnsi="Times New Roman" w:cs="Times New Roman"/>
          <w:color w:val="212121"/>
          <w:sz w:val="22"/>
          <w:szCs w:val="22"/>
          <w:shd w:val="clear" w:color="auto" w:fill="FFFFFF"/>
        </w:rPr>
        <w:t xml:space="preserve"> 1 is </w:t>
      </w:r>
      <w:r w:rsidR="00454B74">
        <w:rPr>
          <w:rFonts w:ascii="Times New Roman" w:eastAsia="Times New Roman" w:hAnsi="Times New Roman" w:cs="Times New Roman"/>
          <w:color w:val="212121"/>
          <w:sz w:val="22"/>
          <w:szCs w:val="22"/>
          <w:shd w:val="clear" w:color="auto" w:fill="FFFFFF"/>
        </w:rPr>
        <w:t xml:space="preserve">the corresponding plot </w:t>
      </w:r>
      <w:r>
        <w:rPr>
          <w:rFonts w:ascii="Times New Roman" w:eastAsia="Times New Roman" w:hAnsi="Times New Roman" w:cs="Times New Roman"/>
          <w:color w:val="212121"/>
          <w:sz w:val="22"/>
          <w:szCs w:val="22"/>
          <w:shd w:val="clear" w:color="auto" w:fill="FFFFFF"/>
        </w:rPr>
        <w:t>and shows the cutoff for inclusion in the model</w:t>
      </w:r>
      <w:r w:rsidR="00981C53">
        <w:rPr>
          <w:rFonts w:ascii="Times New Roman" w:eastAsia="Times New Roman" w:hAnsi="Times New Roman" w:cs="Times New Roman"/>
          <w:color w:val="212121"/>
          <w:sz w:val="22"/>
          <w:szCs w:val="22"/>
          <w:shd w:val="clear" w:color="auto" w:fill="FFFFFF"/>
        </w:rPr>
        <w:t>.</w:t>
      </w:r>
      <w:r>
        <w:rPr>
          <w:rFonts w:ascii="Times New Roman" w:eastAsia="Times New Roman" w:hAnsi="Times New Roman" w:cs="Times New Roman"/>
          <w:color w:val="212121"/>
          <w:sz w:val="22"/>
          <w:szCs w:val="22"/>
          <w:shd w:val="clear" w:color="auto" w:fill="FFFFFF"/>
        </w:rPr>
        <w:t xml:space="preserve"> </w:t>
      </w:r>
      <w:r w:rsidR="00981C53">
        <w:rPr>
          <w:rFonts w:ascii="Times New Roman" w:eastAsia="Times New Roman" w:hAnsi="Times New Roman" w:cs="Times New Roman"/>
          <w:color w:val="212121"/>
          <w:sz w:val="22"/>
          <w:szCs w:val="22"/>
          <w:shd w:val="clear" w:color="auto" w:fill="FFFFFF"/>
        </w:rPr>
        <w:t>T</w:t>
      </w:r>
      <w:r>
        <w:rPr>
          <w:rFonts w:ascii="Times New Roman" w:eastAsia="Times New Roman" w:hAnsi="Times New Roman" w:cs="Times New Roman"/>
          <w:color w:val="212121"/>
          <w:sz w:val="22"/>
          <w:szCs w:val="22"/>
          <w:shd w:val="clear" w:color="auto" w:fill="FFFFFF"/>
        </w:rPr>
        <w:t>he variables included in the final model were, 1) No Previous Well Child Visit (%), 2) Uninsured (%), 3) No Consistent Coverage (%), 4) Private Insurance (%).</w:t>
      </w:r>
      <w:r w:rsidR="00981C53">
        <w:rPr>
          <w:rFonts w:ascii="Times New Roman" w:eastAsia="Times New Roman" w:hAnsi="Times New Roman" w:cs="Times New Roman"/>
          <w:color w:val="212121"/>
          <w:sz w:val="22"/>
          <w:szCs w:val="22"/>
          <w:shd w:val="clear" w:color="auto" w:fill="FFFFFF"/>
        </w:rPr>
        <w:t xml:space="preserve"> The average of the pre-intervention outcome values </w:t>
      </w:r>
      <w:r w:rsidR="00981C53">
        <w:rPr>
          <w:rFonts w:ascii="Times New Roman" w:eastAsia="Times New Roman" w:hAnsi="Times New Roman" w:cs="Times New Roman"/>
          <w:color w:val="212121"/>
          <w:sz w:val="22"/>
          <w:szCs w:val="22"/>
          <w:shd w:val="clear" w:color="auto" w:fill="FFFFFF"/>
        </w:rPr>
        <w:lastRenderedPageBreak/>
        <w:t xml:space="preserve">(average lag) was included as a covariate following the convention set by Abadie et al. in their analysis. </w:t>
      </w:r>
      <w:r>
        <w:rPr>
          <w:rFonts w:ascii="Times New Roman" w:eastAsia="Times New Roman" w:hAnsi="Times New Roman" w:cs="Times New Roman"/>
          <w:color w:val="212121"/>
          <w:sz w:val="22"/>
          <w:szCs w:val="22"/>
          <w:shd w:val="clear" w:color="auto" w:fill="FFFFFF"/>
        </w:rPr>
        <w:t xml:space="preserve"> Fig</w:t>
      </w:r>
      <w:r w:rsidR="00981C53">
        <w:rPr>
          <w:rFonts w:ascii="Times New Roman" w:eastAsia="Times New Roman" w:hAnsi="Times New Roman" w:cs="Times New Roman"/>
          <w:color w:val="212121"/>
          <w:sz w:val="22"/>
          <w:szCs w:val="22"/>
          <w:shd w:val="clear" w:color="auto" w:fill="FFFFFF"/>
        </w:rPr>
        <w:t xml:space="preserve">. </w:t>
      </w:r>
      <w:r>
        <w:rPr>
          <w:rFonts w:ascii="Times New Roman" w:eastAsia="Times New Roman" w:hAnsi="Times New Roman" w:cs="Times New Roman"/>
          <w:color w:val="212121"/>
          <w:sz w:val="22"/>
          <w:szCs w:val="22"/>
          <w:shd w:val="clear" w:color="auto" w:fill="FFFFFF"/>
        </w:rPr>
        <w:t>2 shows the resulting synthetic control as well as the actual vaccine coverage for 2011</w:t>
      </w:r>
      <w:r w:rsidR="00981C53">
        <w:rPr>
          <w:rFonts w:ascii="Times New Roman" w:eastAsia="Times New Roman" w:hAnsi="Times New Roman" w:cs="Times New Roman"/>
          <w:color w:val="212121"/>
          <w:sz w:val="22"/>
          <w:szCs w:val="22"/>
          <w:shd w:val="clear" w:color="auto" w:fill="FFFFFF"/>
        </w:rPr>
        <w:t>/12</w:t>
      </w:r>
      <w:r>
        <w:rPr>
          <w:rFonts w:ascii="Times New Roman" w:eastAsia="Times New Roman" w:hAnsi="Times New Roman" w:cs="Times New Roman"/>
          <w:color w:val="212121"/>
          <w:sz w:val="22"/>
          <w:szCs w:val="22"/>
          <w:shd w:val="clear" w:color="auto" w:fill="FFFFFF"/>
        </w:rPr>
        <w:t xml:space="preserve"> to 2015</w:t>
      </w:r>
      <w:r w:rsidR="00981C53">
        <w:rPr>
          <w:rFonts w:ascii="Times New Roman" w:eastAsia="Times New Roman" w:hAnsi="Times New Roman" w:cs="Times New Roman"/>
          <w:color w:val="212121"/>
          <w:sz w:val="22"/>
          <w:szCs w:val="22"/>
          <w:shd w:val="clear" w:color="auto" w:fill="FFFFFF"/>
        </w:rPr>
        <w:t>/16</w:t>
      </w:r>
      <w:r>
        <w:rPr>
          <w:rFonts w:ascii="Times New Roman" w:eastAsia="Times New Roman" w:hAnsi="Times New Roman" w:cs="Times New Roman"/>
          <w:color w:val="212121"/>
          <w:sz w:val="22"/>
          <w:szCs w:val="22"/>
          <w:shd w:val="clear" w:color="auto" w:fill="FFFFFF"/>
        </w:rPr>
        <w:t>.</w:t>
      </w:r>
    </w:p>
    <w:p w14:paraId="70A6C67A" w14:textId="77777777" w:rsidR="00454B74" w:rsidRDefault="00454B74" w:rsidP="00454B74">
      <w:pPr>
        <w:rPr>
          <w:rFonts w:ascii="Times New Roman" w:eastAsia="Times New Roman" w:hAnsi="Times New Roman" w:cs="Times New Roman"/>
          <w:color w:val="212121"/>
          <w:sz w:val="22"/>
          <w:szCs w:val="22"/>
          <w:shd w:val="clear" w:color="auto" w:fill="FFFFFF"/>
        </w:rPr>
      </w:pPr>
    </w:p>
    <w:p w14:paraId="65117E16" w14:textId="7971DC6B" w:rsidR="00454B74" w:rsidRPr="00454B74" w:rsidRDefault="002C0247" w:rsidP="002C0247">
      <w:pPr>
        <w:jc w:val="right"/>
        <w:rPr>
          <w:rFonts w:ascii="Times New Roman" w:eastAsia="Times New Roman" w:hAnsi="Times New Roman" w:cs="Times New Roman"/>
          <w:color w:val="212121"/>
          <w:sz w:val="22"/>
          <w:szCs w:val="22"/>
          <w:shd w:val="clear" w:color="auto" w:fill="FFFFFF"/>
        </w:rPr>
      </w:pPr>
      <w:bookmarkStart w:id="0" w:name="_GoBack"/>
      <w:bookmarkEnd w:id="0"/>
      <w:r>
        <w:rPr>
          <w:rFonts w:ascii="Times New Roman" w:eastAsia="Times New Roman" w:hAnsi="Times New Roman" w:cs="Times New Roman"/>
          <w:noProof/>
          <w:color w:val="212121"/>
          <w:sz w:val="22"/>
          <w:szCs w:val="22"/>
          <w:shd w:val="clear" w:color="auto" w:fill="FFFFFF"/>
        </w:rPr>
        <w:drawing>
          <wp:inline distT="0" distB="0" distL="0" distR="0" wp14:anchorId="2021EDCF" wp14:editId="6CE233CF">
            <wp:extent cx="5321508" cy="28381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oss Validation. Synthetic Control vs. Treated Unit (Raw) MMR.eps"/>
                    <pic:cNvPicPr/>
                  </pic:nvPicPr>
                  <pic:blipFill>
                    <a:blip r:embed="rId7"/>
                    <a:stretch>
                      <a:fillRect/>
                    </a:stretch>
                  </pic:blipFill>
                  <pic:spPr>
                    <a:xfrm>
                      <a:off x="0" y="0"/>
                      <a:ext cx="5327542" cy="2841356"/>
                    </a:xfrm>
                    <a:prstGeom prst="rect">
                      <a:avLst/>
                    </a:prstGeom>
                  </pic:spPr>
                </pic:pic>
              </a:graphicData>
            </a:graphic>
          </wp:inline>
        </w:drawing>
      </w:r>
    </w:p>
    <w:p w14:paraId="6B1EF9D7" w14:textId="77777777" w:rsidR="00454B74" w:rsidRPr="00031F46" w:rsidRDefault="00454B74" w:rsidP="00454B74">
      <w:pPr>
        <w:ind w:left="720"/>
        <w:rPr>
          <w:rFonts w:ascii="Times New Roman" w:eastAsia="Times New Roman" w:hAnsi="Times New Roman" w:cs="Times New Roman"/>
          <w:b/>
          <w:color w:val="212121"/>
          <w:sz w:val="22"/>
          <w:szCs w:val="22"/>
          <w:shd w:val="clear" w:color="auto" w:fill="FFFFFF"/>
        </w:rPr>
      </w:pPr>
      <w:r w:rsidRPr="00031F46">
        <w:rPr>
          <w:rFonts w:ascii="Times New Roman" w:eastAsia="Times New Roman" w:hAnsi="Times New Roman" w:cs="Times New Roman"/>
          <w:b/>
          <w:color w:val="212121"/>
          <w:sz w:val="22"/>
          <w:szCs w:val="22"/>
          <w:shd w:val="clear" w:color="auto" w:fill="FFFFFF"/>
        </w:rPr>
        <w:t xml:space="preserve">Figure 2. Cross Validation. </w:t>
      </w:r>
    </w:p>
    <w:p w14:paraId="1E63A3DF" w14:textId="415FA6F3" w:rsidR="00454B74" w:rsidRDefault="00454B74" w:rsidP="00454B74">
      <w:pPr>
        <w:ind w:left="720"/>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Cross Validation was conducted to ensure that the resulting covariate combination did not overfit the model. Pre-intervention data (2011/12 – 2015/16) was divided into training (2011/12,</w:t>
      </w:r>
      <w:r w:rsidR="0033348E">
        <w:rPr>
          <w:rFonts w:ascii="Times New Roman" w:eastAsia="Times New Roman" w:hAnsi="Times New Roman" w:cs="Times New Roman"/>
          <w:color w:val="212121"/>
          <w:sz w:val="22"/>
          <w:szCs w:val="22"/>
          <w:shd w:val="clear" w:color="auto" w:fill="FFFFFF"/>
        </w:rPr>
        <w:t xml:space="preserve"> </w:t>
      </w:r>
      <w:r>
        <w:rPr>
          <w:rFonts w:ascii="Times New Roman" w:eastAsia="Times New Roman" w:hAnsi="Times New Roman" w:cs="Times New Roman"/>
          <w:color w:val="212121"/>
          <w:sz w:val="22"/>
          <w:szCs w:val="22"/>
          <w:shd w:val="clear" w:color="auto" w:fill="FFFFFF"/>
        </w:rPr>
        <w:t>2013/14) and testing datasets (2014/15, 2015/16).</w:t>
      </w:r>
    </w:p>
    <w:p w14:paraId="048BB6FD" w14:textId="77777777" w:rsidR="00AE58F7" w:rsidRDefault="00AE58F7" w:rsidP="00454B74">
      <w:pPr>
        <w:jc w:val="both"/>
        <w:rPr>
          <w:rFonts w:ascii="Times New Roman" w:eastAsia="Times New Roman" w:hAnsi="Times New Roman" w:cs="Times New Roman"/>
          <w:color w:val="212121"/>
          <w:sz w:val="22"/>
          <w:szCs w:val="22"/>
          <w:shd w:val="clear" w:color="auto" w:fill="FFFFFF"/>
        </w:rPr>
      </w:pPr>
    </w:p>
    <w:p w14:paraId="3BEAFCFE" w14:textId="4260B573" w:rsidR="00EC287C" w:rsidRDefault="00AE58F7" w:rsidP="00EC287C">
      <w:pPr>
        <w:ind w:left="720"/>
        <w:jc w:val="both"/>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 xml:space="preserve">The </w:t>
      </w:r>
      <w:r w:rsidR="00EC287C">
        <w:rPr>
          <w:rFonts w:ascii="Times New Roman" w:eastAsia="Times New Roman" w:hAnsi="Times New Roman" w:cs="Times New Roman"/>
          <w:color w:val="212121"/>
          <w:sz w:val="22"/>
          <w:szCs w:val="22"/>
          <w:shd w:val="clear" w:color="auto" w:fill="FFFFFF"/>
        </w:rPr>
        <w:t>2</w:t>
      </w:r>
      <w:r w:rsidR="00EC287C" w:rsidRPr="00EC287C">
        <w:rPr>
          <w:rFonts w:ascii="Times New Roman" w:eastAsia="Times New Roman" w:hAnsi="Times New Roman" w:cs="Times New Roman"/>
          <w:color w:val="212121"/>
          <w:sz w:val="22"/>
          <w:szCs w:val="22"/>
          <w:shd w:val="clear" w:color="auto" w:fill="FFFFFF"/>
          <w:vertAlign w:val="superscript"/>
        </w:rPr>
        <w:t>nd</w:t>
      </w:r>
      <w:r>
        <w:rPr>
          <w:rFonts w:ascii="Times New Roman" w:eastAsia="Times New Roman" w:hAnsi="Times New Roman" w:cs="Times New Roman"/>
          <w:color w:val="212121"/>
          <w:sz w:val="22"/>
          <w:szCs w:val="22"/>
          <w:shd w:val="clear" w:color="auto" w:fill="FFFFFF"/>
        </w:rPr>
        <w:t xml:space="preserve"> step in the analysis </w:t>
      </w:r>
      <w:r w:rsidR="00454B74">
        <w:rPr>
          <w:rFonts w:ascii="Times New Roman" w:eastAsia="Times New Roman" w:hAnsi="Times New Roman" w:cs="Times New Roman"/>
          <w:color w:val="212121"/>
          <w:sz w:val="22"/>
          <w:szCs w:val="22"/>
          <w:shd w:val="clear" w:color="auto" w:fill="FFFFFF"/>
        </w:rPr>
        <w:t>will be</w:t>
      </w:r>
      <w:r>
        <w:rPr>
          <w:rFonts w:ascii="Times New Roman" w:eastAsia="Times New Roman" w:hAnsi="Times New Roman" w:cs="Times New Roman"/>
          <w:color w:val="212121"/>
          <w:sz w:val="22"/>
          <w:szCs w:val="22"/>
          <w:shd w:val="clear" w:color="auto" w:fill="FFFFFF"/>
        </w:rPr>
        <w:t xml:space="preserve"> to use the chosen covariates to construct a synthetic control. </w:t>
      </w:r>
      <w:r w:rsidR="002D11CA">
        <w:rPr>
          <w:rFonts w:ascii="Times New Roman" w:eastAsia="Times New Roman" w:hAnsi="Times New Roman" w:cs="Times New Roman"/>
          <w:color w:val="212121"/>
          <w:sz w:val="22"/>
          <w:szCs w:val="22"/>
          <w:shd w:val="clear" w:color="auto" w:fill="FFFFFF"/>
        </w:rPr>
        <w:t xml:space="preserve">Permutation tests, </w:t>
      </w:r>
      <w:r w:rsidR="000717A4">
        <w:rPr>
          <w:rFonts w:ascii="Times New Roman" w:eastAsia="Times New Roman" w:hAnsi="Times New Roman" w:cs="Times New Roman"/>
          <w:color w:val="212121"/>
          <w:sz w:val="22"/>
          <w:szCs w:val="22"/>
          <w:shd w:val="clear" w:color="auto" w:fill="FFFFFF"/>
        </w:rPr>
        <w:t>the primary means of inference used with the synthetic control appr</w:t>
      </w:r>
      <w:r w:rsidR="008B49A4">
        <w:rPr>
          <w:rFonts w:ascii="Times New Roman" w:eastAsia="Times New Roman" w:hAnsi="Times New Roman" w:cs="Times New Roman"/>
          <w:color w:val="212121"/>
          <w:sz w:val="22"/>
          <w:szCs w:val="22"/>
          <w:shd w:val="clear" w:color="auto" w:fill="FFFFFF"/>
        </w:rPr>
        <w:t>oa</w:t>
      </w:r>
      <w:r w:rsidR="002D11CA">
        <w:rPr>
          <w:rFonts w:ascii="Times New Roman" w:eastAsia="Times New Roman" w:hAnsi="Times New Roman" w:cs="Times New Roman"/>
          <w:color w:val="212121"/>
          <w:sz w:val="22"/>
          <w:szCs w:val="22"/>
          <w:shd w:val="clear" w:color="auto" w:fill="FFFFFF"/>
        </w:rPr>
        <w:t xml:space="preserve">ch, </w:t>
      </w:r>
      <w:r>
        <w:rPr>
          <w:rFonts w:ascii="Times New Roman" w:eastAsia="Times New Roman" w:hAnsi="Times New Roman" w:cs="Times New Roman"/>
          <w:color w:val="212121"/>
          <w:sz w:val="22"/>
          <w:szCs w:val="22"/>
          <w:shd w:val="clear" w:color="auto" w:fill="FFFFFF"/>
        </w:rPr>
        <w:t>will</w:t>
      </w:r>
      <w:r w:rsidR="002D11CA">
        <w:rPr>
          <w:rFonts w:ascii="Times New Roman" w:eastAsia="Times New Roman" w:hAnsi="Times New Roman" w:cs="Times New Roman"/>
          <w:color w:val="212121"/>
          <w:sz w:val="22"/>
          <w:szCs w:val="22"/>
          <w:shd w:val="clear" w:color="auto" w:fill="FFFFFF"/>
        </w:rPr>
        <w:t xml:space="preserve"> </w:t>
      </w:r>
      <w:r>
        <w:rPr>
          <w:rFonts w:ascii="Times New Roman" w:eastAsia="Times New Roman" w:hAnsi="Times New Roman" w:cs="Times New Roman"/>
          <w:color w:val="212121"/>
          <w:sz w:val="22"/>
          <w:szCs w:val="22"/>
          <w:shd w:val="clear" w:color="auto" w:fill="FFFFFF"/>
        </w:rPr>
        <w:t>be used</w:t>
      </w:r>
      <w:r w:rsidR="002D11CA">
        <w:rPr>
          <w:rFonts w:ascii="Times New Roman" w:eastAsia="Times New Roman" w:hAnsi="Times New Roman" w:cs="Times New Roman"/>
          <w:color w:val="212121"/>
          <w:sz w:val="22"/>
          <w:szCs w:val="22"/>
          <w:shd w:val="clear" w:color="auto" w:fill="FFFFFF"/>
        </w:rPr>
        <w:t xml:space="preserve"> to </w:t>
      </w:r>
      <w:r w:rsidR="00C74F32">
        <w:rPr>
          <w:rFonts w:ascii="Times New Roman" w:eastAsia="Times New Roman" w:hAnsi="Times New Roman" w:cs="Times New Roman"/>
          <w:color w:val="212121"/>
          <w:sz w:val="22"/>
          <w:szCs w:val="22"/>
          <w:shd w:val="clear" w:color="auto" w:fill="FFFFFF"/>
        </w:rPr>
        <w:t>detect</w:t>
      </w:r>
      <w:r w:rsidR="0034004F">
        <w:rPr>
          <w:rFonts w:ascii="Times New Roman" w:eastAsia="Times New Roman" w:hAnsi="Times New Roman" w:cs="Times New Roman"/>
          <w:color w:val="212121"/>
          <w:sz w:val="22"/>
          <w:szCs w:val="22"/>
          <w:shd w:val="clear" w:color="auto" w:fill="FFFFFF"/>
        </w:rPr>
        <w:t xml:space="preserve"> a meaningful </w:t>
      </w:r>
      <w:r w:rsidR="00A55E64">
        <w:rPr>
          <w:rFonts w:ascii="Times New Roman" w:eastAsia="Times New Roman" w:hAnsi="Times New Roman" w:cs="Times New Roman"/>
          <w:color w:val="212121"/>
          <w:sz w:val="22"/>
          <w:szCs w:val="22"/>
          <w:shd w:val="clear" w:color="auto" w:fill="FFFFFF"/>
        </w:rPr>
        <w:t>treatment effect</w:t>
      </w:r>
      <w:r w:rsidR="002D11CA">
        <w:rPr>
          <w:rFonts w:ascii="Times New Roman" w:eastAsia="Times New Roman" w:hAnsi="Times New Roman" w:cs="Times New Roman"/>
          <w:color w:val="212121"/>
          <w:sz w:val="22"/>
          <w:szCs w:val="22"/>
          <w:shd w:val="clear" w:color="auto" w:fill="FFFFFF"/>
        </w:rPr>
        <w:t xml:space="preserve">. </w:t>
      </w:r>
      <w:r w:rsidR="0034004F">
        <w:rPr>
          <w:rFonts w:ascii="Times New Roman" w:eastAsia="Times New Roman" w:hAnsi="Times New Roman" w:cs="Times New Roman"/>
          <w:color w:val="212121"/>
          <w:sz w:val="22"/>
          <w:szCs w:val="22"/>
          <w:shd w:val="clear" w:color="auto" w:fill="FFFFFF"/>
        </w:rPr>
        <w:t xml:space="preserve">We </w:t>
      </w:r>
      <w:r>
        <w:rPr>
          <w:rFonts w:ascii="Times New Roman" w:eastAsia="Times New Roman" w:hAnsi="Times New Roman" w:cs="Times New Roman"/>
          <w:color w:val="212121"/>
          <w:sz w:val="22"/>
          <w:szCs w:val="22"/>
          <w:shd w:val="clear" w:color="auto" w:fill="FFFFFF"/>
        </w:rPr>
        <w:t>pre-</w:t>
      </w:r>
      <w:r w:rsidR="0034004F">
        <w:rPr>
          <w:rFonts w:ascii="Times New Roman" w:eastAsia="Times New Roman" w:hAnsi="Times New Roman" w:cs="Times New Roman"/>
          <w:color w:val="212121"/>
          <w:sz w:val="22"/>
          <w:szCs w:val="22"/>
          <w:shd w:val="clear" w:color="auto" w:fill="FFFFFF"/>
        </w:rPr>
        <w:t xml:space="preserve">define the </w:t>
      </w:r>
      <w:r w:rsidR="00A55E64">
        <w:rPr>
          <w:rFonts w:ascii="Times New Roman" w:eastAsia="Times New Roman" w:hAnsi="Times New Roman" w:cs="Times New Roman"/>
          <w:color w:val="212121"/>
          <w:sz w:val="22"/>
          <w:szCs w:val="22"/>
          <w:shd w:val="clear" w:color="auto" w:fill="FFFFFF"/>
        </w:rPr>
        <w:t>treatment as</w:t>
      </w:r>
      <w:r w:rsidR="0034004F">
        <w:rPr>
          <w:rFonts w:ascii="Times New Roman" w:eastAsia="Times New Roman" w:hAnsi="Times New Roman" w:cs="Times New Roman"/>
          <w:color w:val="212121"/>
          <w:sz w:val="22"/>
          <w:szCs w:val="22"/>
          <w:shd w:val="clear" w:color="auto" w:fill="FFFFFF"/>
        </w:rPr>
        <w:t xml:space="preserve"> as “</w:t>
      </w:r>
      <w:r w:rsidR="00A55E64">
        <w:rPr>
          <w:rFonts w:ascii="Times New Roman" w:eastAsia="Times New Roman" w:hAnsi="Times New Roman" w:cs="Times New Roman"/>
          <w:color w:val="212121"/>
          <w:sz w:val="22"/>
          <w:szCs w:val="22"/>
          <w:shd w:val="clear" w:color="auto" w:fill="FFFFFF"/>
        </w:rPr>
        <w:t>meaningful</w:t>
      </w:r>
      <w:r w:rsidR="0034004F">
        <w:rPr>
          <w:rFonts w:ascii="Times New Roman" w:eastAsia="Times New Roman" w:hAnsi="Times New Roman" w:cs="Times New Roman"/>
          <w:color w:val="212121"/>
          <w:sz w:val="22"/>
          <w:szCs w:val="22"/>
          <w:shd w:val="clear" w:color="auto" w:fill="FFFFFF"/>
        </w:rPr>
        <w:t xml:space="preserve">” if the </w:t>
      </w:r>
      <w:r w:rsidR="00C41847">
        <w:rPr>
          <w:rFonts w:ascii="Times New Roman" w:eastAsia="Times New Roman" w:hAnsi="Times New Roman" w:cs="Times New Roman"/>
          <w:color w:val="212121"/>
          <w:sz w:val="22"/>
          <w:szCs w:val="22"/>
          <w:shd w:val="clear" w:color="auto" w:fill="FFFFFF"/>
        </w:rPr>
        <w:t xml:space="preserve">post-intervention vaccine coverage trajectory </w:t>
      </w:r>
      <w:r w:rsidR="00EC287C">
        <w:rPr>
          <w:rFonts w:ascii="Times New Roman" w:eastAsia="Times New Roman" w:hAnsi="Times New Roman" w:cs="Times New Roman"/>
          <w:color w:val="212121"/>
          <w:sz w:val="22"/>
          <w:szCs w:val="22"/>
          <w:shd w:val="clear" w:color="auto" w:fill="FFFFFF"/>
        </w:rPr>
        <w:t>is</w:t>
      </w:r>
      <w:r w:rsidR="00C41847">
        <w:rPr>
          <w:rFonts w:ascii="Times New Roman" w:eastAsia="Times New Roman" w:hAnsi="Times New Roman" w:cs="Times New Roman"/>
          <w:color w:val="212121"/>
          <w:sz w:val="22"/>
          <w:szCs w:val="22"/>
          <w:shd w:val="clear" w:color="auto" w:fill="FFFFFF"/>
        </w:rPr>
        <w:t xml:space="preserve"> in the top 5% of vaccine coverage trajectories from the permutation tests.</w:t>
      </w:r>
      <w:r w:rsidR="00EC287C">
        <w:rPr>
          <w:rFonts w:ascii="Times New Roman" w:eastAsia="Times New Roman" w:hAnsi="Times New Roman" w:cs="Times New Roman"/>
          <w:color w:val="212121"/>
          <w:sz w:val="22"/>
          <w:szCs w:val="22"/>
          <w:shd w:val="clear" w:color="auto" w:fill="FFFFFF"/>
        </w:rPr>
        <w:t xml:space="preserve"> Finally, sensitivity analysis will be conducted to test the robustness of the model. The first set of sensitivity analyses will test different combinations of covariates used to create the synthetic control, including variation on the lag variable</w:t>
      </w:r>
      <w:r w:rsidR="00EC287C">
        <w:rPr>
          <w:rFonts w:ascii="Times New Roman" w:eastAsia="Times New Roman" w:hAnsi="Times New Roman" w:cs="Times New Roman"/>
          <w:color w:val="212121"/>
          <w:sz w:val="22"/>
          <w:szCs w:val="22"/>
          <w:shd w:val="clear" w:color="auto" w:fill="FFFFFF"/>
        </w:rPr>
        <w:fldChar w:fldCharType="begin" w:fldLock="1"/>
      </w:r>
      <w:r w:rsidR="00EC287C">
        <w:rPr>
          <w:rFonts w:ascii="Times New Roman" w:eastAsia="Times New Roman" w:hAnsi="Times New Roman" w:cs="Times New Roman"/>
          <w:color w:val="212121"/>
          <w:sz w:val="22"/>
          <w:szCs w:val="22"/>
          <w:shd w:val="clear" w:color="auto" w:fill="FFFFFF"/>
        </w:rPr>
        <w:instrText>ADDIN CSL_CITATION {"citationItems":[{"id":"ITEM-1","itemData":{"abstract":"The nonprofit Urban Institute is dedicated to elevating the debate on social and economic policy. For nearly five decades, Urban scholars have conducted research and offered evidence-based solutions that improve lives and strengthen communities across a rapidly urbanizing world. Their objective research helps expand opportunities for all, reduce hardship among the most vulnerable, and strengthen the effectiveness of the public sector.","author":[{"dropping-particle":"","family":"Mcclelland","given":"Robert","non-dropping-particle":"","parse-names":false,"suffix":""},{"dropping-particle":"","family":"Gault","given":"Sarah","non-dropping-particle":"","parse-names":false,"suffix":""}],"id":"ITEM-1","issued":{"date-parts":[["2017"]]},"title":"The Synthetic Control Method as a Tool to Understand State Policy","type":"report"},"uris":["http://www.mendeley.com/documents/?uuid=dd948966-87a3-33ed-bd08-6764a022fa63"]}],"mendeley":{"formattedCitation":"&lt;sup&gt;11&lt;/sup&gt;","plainTextFormattedCitation":"11","previouslyFormattedCitation":"&lt;sup&gt;10&lt;/sup&gt;"},"properties":{"noteIndex":0},"schema":"https://github.com/citation-style-language/schema/raw/master/csl-citation.json"}</w:instrText>
      </w:r>
      <w:r w:rsidR="00EC287C">
        <w:rPr>
          <w:rFonts w:ascii="Times New Roman" w:eastAsia="Times New Roman" w:hAnsi="Times New Roman" w:cs="Times New Roman"/>
          <w:color w:val="212121"/>
          <w:sz w:val="22"/>
          <w:szCs w:val="22"/>
          <w:shd w:val="clear" w:color="auto" w:fill="FFFFFF"/>
        </w:rPr>
        <w:fldChar w:fldCharType="separate"/>
      </w:r>
      <w:r w:rsidR="00EC287C" w:rsidRPr="002C0041">
        <w:rPr>
          <w:rFonts w:ascii="Times New Roman" w:eastAsia="Times New Roman" w:hAnsi="Times New Roman" w:cs="Times New Roman"/>
          <w:noProof/>
          <w:color w:val="212121"/>
          <w:sz w:val="22"/>
          <w:szCs w:val="22"/>
          <w:shd w:val="clear" w:color="auto" w:fill="FFFFFF"/>
          <w:vertAlign w:val="superscript"/>
        </w:rPr>
        <w:t>11</w:t>
      </w:r>
      <w:r w:rsidR="00EC287C">
        <w:rPr>
          <w:rFonts w:ascii="Times New Roman" w:eastAsia="Times New Roman" w:hAnsi="Times New Roman" w:cs="Times New Roman"/>
          <w:color w:val="212121"/>
          <w:sz w:val="22"/>
          <w:szCs w:val="22"/>
          <w:shd w:val="clear" w:color="auto" w:fill="FFFFFF"/>
        </w:rPr>
        <w:fldChar w:fldCharType="end"/>
      </w:r>
      <w:r w:rsidR="00EC287C">
        <w:rPr>
          <w:rFonts w:ascii="Times New Roman" w:eastAsia="Times New Roman" w:hAnsi="Times New Roman" w:cs="Times New Roman"/>
          <w:color w:val="212121"/>
          <w:sz w:val="22"/>
          <w:szCs w:val="22"/>
          <w:shd w:val="clear" w:color="auto" w:fill="FFFFFF"/>
        </w:rPr>
        <w:t>. The second set of sensitivity tests, ‘Leave one out tests’, exclude a single state from the donor pool to ascertain that no single state is driving the synthetic control.</w:t>
      </w:r>
    </w:p>
    <w:p w14:paraId="47E7F8F4" w14:textId="77777777" w:rsidR="00C41847" w:rsidRDefault="00C41847" w:rsidP="00EC287C">
      <w:pPr>
        <w:jc w:val="both"/>
        <w:rPr>
          <w:rFonts w:ascii="Times New Roman" w:eastAsia="Times New Roman" w:hAnsi="Times New Roman" w:cs="Times New Roman"/>
          <w:color w:val="212121"/>
          <w:sz w:val="22"/>
          <w:szCs w:val="22"/>
          <w:shd w:val="clear" w:color="auto" w:fill="FFFFFF"/>
        </w:rPr>
      </w:pPr>
    </w:p>
    <w:p w14:paraId="14024029" w14:textId="4FC3917E" w:rsidR="00367B61" w:rsidRPr="00C41847" w:rsidRDefault="00C41847" w:rsidP="005F27D3">
      <w:pPr>
        <w:ind w:left="720"/>
        <w:jc w:val="both"/>
        <w:rPr>
          <w:rFonts w:ascii="Times New Roman" w:hAnsi="Times New Roman" w:cs="Times New Roman"/>
          <w:sz w:val="22"/>
          <w:szCs w:val="22"/>
        </w:rPr>
      </w:pPr>
      <w:r>
        <w:rPr>
          <w:rFonts w:ascii="Times New Roman" w:hAnsi="Times New Roman" w:cs="Times New Roman"/>
          <w:sz w:val="22"/>
          <w:szCs w:val="22"/>
        </w:rPr>
        <w:t xml:space="preserve">In addition to </w:t>
      </w:r>
      <w:r w:rsidR="002835DB">
        <w:rPr>
          <w:rFonts w:ascii="Times New Roman" w:hAnsi="Times New Roman" w:cs="Times New Roman"/>
          <w:sz w:val="22"/>
          <w:szCs w:val="22"/>
        </w:rPr>
        <w:t xml:space="preserve">the currently presented </w:t>
      </w:r>
      <w:r>
        <w:rPr>
          <w:rFonts w:ascii="Times New Roman" w:hAnsi="Times New Roman" w:cs="Times New Roman"/>
          <w:sz w:val="22"/>
          <w:szCs w:val="22"/>
        </w:rPr>
        <w:t>Synthetic Control analysis, a</w:t>
      </w:r>
      <w:r w:rsidR="00367B61">
        <w:rPr>
          <w:rFonts w:ascii="Times New Roman" w:hAnsi="Times New Roman" w:cs="Times New Roman"/>
          <w:sz w:val="22"/>
          <w:szCs w:val="22"/>
        </w:rPr>
        <w:t xml:space="preserve"> </w:t>
      </w:r>
      <w:r w:rsidR="00B45132">
        <w:rPr>
          <w:rFonts w:ascii="Times New Roman" w:hAnsi="Times New Roman" w:cs="Times New Roman"/>
          <w:sz w:val="22"/>
          <w:szCs w:val="22"/>
        </w:rPr>
        <w:t xml:space="preserve">Difference-in-Differences </w:t>
      </w:r>
      <w:r>
        <w:rPr>
          <w:rFonts w:ascii="Times New Roman" w:hAnsi="Times New Roman" w:cs="Times New Roman"/>
          <w:sz w:val="22"/>
          <w:szCs w:val="22"/>
        </w:rPr>
        <w:t>a</w:t>
      </w:r>
      <w:r w:rsidR="00B45132">
        <w:rPr>
          <w:rFonts w:ascii="Times New Roman" w:hAnsi="Times New Roman" w:cs="Times New Roman"/>
          <w:sz w:val="22"/>
          <w:szCs w:val="22"/>
        </w:rPr>
        <w:t>nalysis</w:t>
      </w:r>
      <w:r w:rsidR="00367B61">
        <w:rPr>
          <w:rFonts w:ascii="Times New Roman" w:hAnsi="Times New Roman" w:cs="Times New Roman"/>
          <w:sz w:val="22"/>
          <w:szCs w:val="22"/>
        </w:rPr>
        <w:t xml:space="preserve"> of </w:t>
      </w:r>
      <w:r>
        <w:rPr>
          <w:rFonts w:ascii="Times New Roman" w:hAnsi="Times New Roman" w:cs="Times New Roman"/>
          <w:sz w:val="22"/>
          <w:szCs w:val="22"/>
        </w:rPr>
        <w:t xml:space="preserve">the </w:t>
      </w:r>
      <w:r w:rsidR="002835DB">
        <w:rPr>
          <w:rFonts w:ascii="Times New Roman" w:hAnsi="Times New Roman" w:cs="Times New Roman"/>
          <w:sz w:val="22"/>
          <w:szCs w:val="22"/>
        </w:rPr>
        <w:t xml:space="preserve">effectiveness </w:t>
      </w:r>
      <w:r>
        <w:rPr>
          <w:rFonts w:ascii="Times New Roman" w:hAnsi="Times New Roman" w:cs="Times New Roman"/>
          <w:sz w:val="22"/>
          <w:szCs w:val="22"/>
        </w:rPr>
        <w:t xml:space="preserve">of SB277 on </w:t>
      </w:r>
      <w:r w:rsidR="00367B61">
        <w:rPr>
          <w:rFonts w:ascii="Times New Roman" w:hAnsi="Times New Roman" w:cs="Times New Roman"/>
          <w:sz w:val="22"/>
          <w:szCs w:val="22"/>
        </w:rPr>
        <w:t>vaccine coverage</w:t>
      </w:r>
      <w:r w:rsidR="00B45132">
        <w:rPr>
          <w:rFonts w:ascii="Times New Roman" w:hAnsi="Times New Roman" w:cs="Times New Roman"/>
          <w:sz w:val="22"/>
          <w:szCs w:val="22"/>
        </w:rPr>
        <w:t xml:space="preserve"> at the country level</w:t>
      </w:r>
      <w:r w:rsidR="00367B61">
        <w:rPr>
          <w:rFonts w:ascii="Times New Roman" w:hAnsi="Times New Roman" w:cs="Times New Roman"/>
          <w:sz w:val="22"/>
          <w:szCs w:val="22"/>
        </w:rPr>
        <w:t xml:space="preserve"> was conducted </w:t>
      </w:r>
      <w:r w:rsidR="002835DB">
        <w:rPr>
          <w:rFonts w:ascii="Times New Roman" w:hAnsi="Times New Roman" w:cs="Times New Roman"/>
          <w:sz w:val="22"/>
          <w:szCs w:val="22"/>
        </w:rPr>
        <w:t>using</w:t>
      </w:r>
      <w:r w:rsidR="00367B61">
        <w:rPr>
          <w:rFonts w:ascii="Times New Roman" w:hAnsi="Times New Roman" w:cs="Times New Roman"/>
          <w:sz w:val="22"/>
          <w:szCs w:val="22"/>
        </w:rPr>
        <w:t xml:space="preserve"> </w:t>
      </w:r>
      <w:r w:rsidR="002835DB">
        <w:rPr>
          <w:rFonts w:ascii="Times New Roman" w:hAnsi="Times New Roman" w:cs="Times New Roman"/>
          <w:sz w:val="22"/>
          <w:szCs w:val="22"/>
        </w:rPr>
        <w:t>data fr</w:t>
      </w:r>
      <w:r w:rsidR="00B45132">
        <w:rPr>
          <w:rFonts w:ascii="Times New Roman" w:hAnsi="Times New Roman" w:cs="Times New Roman"/>
          <w:sz w:val="22"/>
          <w:szCs w:val="22"/>
        </w:rPr>
        <w:t>om</w:t>
      </w:r>
      <w:r w:rsidR="002835DB">
        <w:rPr>
          <w:rFonts w:ascii="Times New Roman" w:hAnsi="Times New Roman" w:cs="Times New Roman"/>
          <w:sz w:val="22"/>
          <w:szCs w:val="22"/>
        </w:rPr>
        <w:t xml:space="preserve"> a subset of </w:t>
      </w:r>
      <w:r w:rsidR="00B45132">
        <w:rPr>
          <w:rFonts w:ascii="Times New Roman" w:hAnsi="Times New Roman" w:cs="Times New Roman"/>
          <w:sz w:val="22"/>
          <w:szCs w:val="22"/>
        </w:rPr>
        <w:t>S</w:t>
      </w:r>
      <w:r w:rsidR="002835DB">
        <w:rPr>
          <w:rFonts w:ascii="Times New Roman" w:hAnsi="Times New Roman" w:cs="Times New Roman"/>
          <w:sz w:val="22"/>
          <w:szCs w:val="22"/>
        </w:rPr>
        <w:t>tate</w:t>
      </w:r>
      <w:r w:rsidR="00B45132">
        <w:rPr>
          <w:rFonts w:ascii="Times New Roman" w:hAnsi="Times New Roman" w:cs="Times New Roman"/>
          <w:sz w:val="22"/>
          <w:szCs w:val="22"/>
        </w:rPr>
        <w:t>s</w:t>
      </w:r>
      <w:r>
        <w:rPr>
          <w:rFonts w:ascii="Times New Roman" w:hAnsi="Times New Roman" w:cs="Times New Roman"/>
          <w:sz w:val="22"/>
          <w:szCs w:val="22"/>
        </w:rPr>
        <w:t>.</w:t>
      </w:r>
      <w:r w:rsidR="00B45132">
        <w:rPr>
          <w:rFonts w:ascii="Times New Roman" w:hAnsi="Times New Roman" w:cs="Times New Roman"/>
          <w:sz w:val="22"/>
          <w:szCs w:val="22"/>
        </w:rPr>
        <w:t xml:space="preserve"> </w:t>
      </w:r>
      <w:r w:rsidR="005F27D3">
        <w:rPr>
          <w:rFonts w:ascii="Times New Roman" w:hAnsi="Times New Roman" w:cs="Times New Roman"/>
          <w:sz w:val="22"/>
          <w:szCs w:val="22"/>
        </w:rPr>
        <w:t xml:space="preserve">A third analysis will combine synthetic control and Difference-in-Differences to identify a relationship. </w:t>
      </w:r>
      <w:r>
        <w:rPr>
          <w:rFonts w:ascii="Times New Roman" w:hAnsi="Times New Roman" w:cs="Times New Roman"/>
          <w:sz w:val="22"/>
          <w:szCs w:val="22"/>
        </w:rPr>
        <w:t xml:space="preserve">Together the results of </w:t>
      </w:r>
      <w:r w:rsidR="002835DB">
        <w:rPr>
          <w:rFonts w:ascii="Times New Roman" w:hAnsi="Times New Roman" w:cs="Times New Roman"/>
          <w:sz w:val="22"/>
          <w:szCs w:val="22"/>
        </w:rPr>
        <w:t xml:space="preserve">these </w:t>
      </w:r>
      <w:r w:rsidR="005F27D3">
        <w:rPr>
          <w:rFonts w:ascii="Times New Roman" w:hAnsi="Times New Roman" w:cs="Times New Roman"/>
          <w:sz w:val="22"/>
          <w:szCs w:val="22"/>
        </w:rPr>
        <w:t>three</w:t>
      </w:r>
      <w:r w:rsidR="002835DB">
        <w:rPr>
          <w:rFonts w:ascii="Times New Roman" w:hAnsi="Times New Roman" w:cs="Times New Roman"/>
          <w:sz w:val="22"/>
          <w:szCs w:val="22"/>
        </w:rPr>
        <w:t xml:space="preserve"> </w:t>
      </w:r>
      <w:r>
        <w:rPr>
          <w:rFonts w:ascii="Times New Roman" w:hAnsi="Times New Roman" w:cs="Times New Roman"/>
          <w:sz w:val="22"/>
          <w:szCs w:val="22"/>
        </w:rPr>
        <w:t>analyses</w:t>
      </w:r>
      <w:r w:rsidR="00D94837">
        <w:rPr>
          <w:rFonts w:ascii="Times New Roman" w:hAnsi="Times New Roman" w:cs="Times New Roman"/>
          <w:sz w:val="22"/>
          <w:szCs w:val="22"/>
        </w:rPr>
        <w:t xml:space="preserve"> will</w:t>
      </w:r>
      <w:r>
        <w:rPr>
          <w:rFonts w:ascii="Times New Roman" w:hAnsi="Times New Roman" w:cs="Times New Roman"/>
          <w:sz w:val="22"/>
          <w:szCs w:val="22"/>
        </w:rPr>
        <w:t xml:space="preserve"> provide a comprehensive picture of the </w:t>
      </w:r>
      <w:r w:rsidR="002835DB">
        <w:rPr>
          <w:rFonts w:ascii="Times New Roman" w:hAnsi="Times New Roman" w:cs="Times New Roman"/>
          <w:sz w:val="22"/>
          <w:szCs w:val="22"/>
        </w:rPr>
        <w:t xml:space="preserve">effectiveness </w:t>
      </w:r>
      <w:r>
        <w:rPr>
          <w:rFonts w:ascii="Times New Roman" w:hAnsi="Times New Roman" w:cs="Times New Roman"/>
          <w:sz w:val="22"/>
          <w:szCs w:val="22"/>
        </w:rPr>
        <w:t>of California’s SB277 on vaccine coverage at the state and county level.</w:t>
      </w:r>
    </w:p>
    <w:p w14:paraId="79BECE78" w14:textId="77777777" w:rsidR="001645BB" w:rsidRDefault="001645BB" w:rsidP="00EC287C">
      <w:pPr>
        <w:jc w:val="both"/>
        <w:rPr>
          <w:rFonts w:ascii="Times New Roman" w:eastAsia="Times New Roman" w:hAnsi="Times New Roman" w:cs="Times New Roman"/>
          <w:color w:val="212121"/>
          <w:sz w:val="22"/>
          <w:szCs w:val="22"/>
          <w:shd w:val="clear" w:color="auto" w:fill="FFFFFF"/>
        </w:rPr>
      </w:pPr>
    </w:p>
    <w:p w14:paraId="34833D11" w14:textId="77777777" w:rsidR="001645BB" w:rsidRDefault="001645BB" w:rsidP="00981C53">
      <w:pPr>
        <w:rPr>
          <w:rFonts w:ascii="Times New Roman" w:eastAsia="Times New Roman" w:hAnsi="Times New Roman" w:cs="Times New Roman"/>
          <w:color w:val="212121"/>
          <w:sz w:val="22"/>
          <w:szCs w:val="22"/>
          <w:shd w:val="clear" w:color="auto" w:fill="FFFFFF"/>
        </w:rPr>
      </w:pPr>
    </w:p>
    <w:p w14:paraId="16650D62" w14:textId="77777777" w:rsidR="00EC287C" w:rsidRDefault="00EC287C" w:rsidP="00EC287C">
      <w:pPr>
        <w:rPr>
          <w:rFonts w:ascii="Times New Roman" w:eastAsia="Times New Roman" w:hAnsi="Times New Roman" w:cs="Times New Roman"/>
          <w:color w:val="212121"/>
          <w:sz w:val="22"/>
          <w:szCs w:val="22"/>
          <w:shd w:val="clear" w:color="auto" w:fill="FFFFFF"/>
        </w:rPr>
      </w:pPr>
    </w:p>
    <w:p w14:paraId="66E652E6" w14:textId="2D071D0B" w:rsidR="00EC287C" w:rsidRDefault="00551A23" w:rsidP="002D11CA">
      <w:pPr>
        <w:rPr>
          <w:rFonts w:ascii="Times New Roman" w:eastAsia="Times New Roman" w:hAnsi="Times New Roman" w:cs="Times New Roman"/>
          <w:color w:val="212121"/>
          <w:sz w:val="22"/>
          <w:szCs w:val="22"/>
          <w:shd w:val="clear" w:color="auto" w:fill="FFFFFF"/>
        </w:rPr>
      </w:pPr>
      <w:r>
        <w:rPr>
          <w:rFonts w:ascii="Times New Roman" w:eastAsia="Times New Roman" w:hAnsi="Times New Roman" w:cs="Times New Roman"/>
          <w:color w:val="212121"/>
          <w:sz w:val="22"/>
          <w:szCs w:val="22"/>
          <w:shd w:val="clear" w:color="auto" w:fill="FFFFFF"/>
        </w:rPr>
        <w:t xml:space="preserve"> </w:t>
      </w:r>
      <w:r w:rsidR="000717A4">
        <w:rPr>
          <w:rFonts w:ascii="Times New Roman" w:eastAsia="Times New Roman" w:hAnsi="Times New Roman" w:cs="Times New Roman"/>
          <w:color w:val="212121"/>
          <w:sz w:val="22"/>
          <w:szCs w:val="22"/>
          <w:shd w:val="clear" w:color="auto" w:fill="FFFFFF"/>
        </w:rPr>
        <w:t xml:space="preserve"> </w:t>
      </w:r>
    </w:p>
    <w:p w14:paraId="04F20086" w14:textId="1E604359" w:rsidR="00EC287C" w:rsidRDefault="00EC287C" w:rsidP="002D11CA">
      <w:pPr>
        <w:rPr>
          <w:rFonts w:ascii="Times New Roman" w:eastAsia="Times New Roman" w:hAnsi="Times New Roman" w:cs="Times New Roman"/>
          <w:color w:val="212121"/>
          <w:sz w:val="22"/>
          <w:szCs w:val="22"/>
          <w:shd w:val="clear" w:color="auto" w:fill="FFFFFF"/>
        </w:rPr>
      </w:pPr>
    </w:p>
    <w:p w14:paraId="6E0464D0" w14:textId="399C7FF4" w:rsidR="00454B74" w:rsidRDefault="00454B74" w:rsidP="002D11CA">
      <w:pPr>
        <w:rPr>
          <w:rFonts w:ascii="Times New Roman" w:eastAsia="Times New Roman" w:hAnsi="Times New Roman" w:cs="Times New Roman"/>
          <w:color w:val="212121"/>
          <w:sz w:val="22"/>
          <w:szCs w:val="22"/>
          <w:shd w:val="clear" w:color="auto" w:fill="FFFFFF"/>
        </w:rPr>
      </w:pPr>
    </w:p>
    <w:p w14:paraId="43E58397" w14:textId="3CF70223" w:rsidR="00454B74" w:rsidRDefault="00454B74" w:rsidP="002D11CA">
      <w:pPr>
        <w:rPr>
          <w:rFonts w:ascii="Times New Roman" w:eastAsia="Times New Roman" w:hAnsi="Times New Roman" w:cs="Times New Roman"/>
          <w:color w:val="212121"/>
          <w:sz w:val="22"/>
          <w:szCs w:val="22"/>
          <w:shd w:val="clear" w:color="auto" w:fill="FFFFFF"/>
        </w:rPr>
      </w:pPr>
    </w:p>
    <w:p w14:paraId="6B19BB53" w14:textId="55344B59" w:rsidR="002C0247" w:rsidRDefault="002C0247" w:rsidP="002D11CA">
      <w:pPr>
        <w:rPr>
          <w:rFonts w:ascii="Times New Roman" w:eastAsia="Times New Roman" w:hAnsi="Times New Roman" w:cs="Times New Roman"/>
          <w:color w:val="212121"/>
          <w:sz w:val="22"/>
          <w:szCs w:val="22"/>
          <w:shd w:val="clear" w:color="auto" w:fill="FFFFFF"/>
        </w:rPr>
      </w:pPr>
    </w:p>
    <w:p w14:paraId="523B7A42" w14:textId="77777777" w:rsidR="002C0247" w:rsidRDefault="002C0247" w:rsidP="002D11CA">
      <w:pPr>
        <w:rPr>
          <w:rFonts w:ascii="Times New Roman" w:eastAsia="Times New Roman" w:hAnsi="Times New Roman" w:cs="Times New Roman"/>
          <w:color w:val="212121"/>
          <w:sz w:val="22"/>
          <w:szCs w:val="22"/>
          <w:shd w:val="clear" w:color="auto" w:fill="FFFFFF"/>
        </w:rPr>
      </w:pPr>
    </w:p>
    <w:p w14:paraId="459131AA" w14:textId="164818A6" w:rsidR="00551A23" w:rsidRPr="00EC287C" w:rsidRDefault="002D11CA" w:rsidP="002D11CA">
      <w:pPr>
        <w:rPr>
          <w:rFonts w:ascii="Times New Roman" w:eastAsia="Times New Roman" w:hAnsi="Times New Roman" w:cs="Times New Roman"/>
          <w:color w:val="212121"/>
          <w:sz w:val="22"/>
          <w:szCs w:val="22"/>
          <w:shd w:val="clear" w:color="auto" w:fill="FFFFFF"/>
        </w:rPr>
      </w:pPr>
      <w:r w:rsidRPr="002D11CA">
        <w:rPr>
          <w:rFonts w:ascii="Times New Roman" w:eastAsia="Times New Roman" w:hAnsi="Times New Roman" w:cs="Times New Roman"/>
          <w:b/>
          <w:color w:val="212121"/>
          <w:sz w:val="22"/>
          <w:szCs w:val="22"/>
          <w:shd w:val="clear" w:color="auto" w:fill="FFFFFF"/>
        </w:rPr>
        <w:lastRenderedPageBreak/>
        <w:t>References</w:t>
      </w:r>
    </w:p>
    <w:p w14:paraId="30264BEB" w14:textId="483B4379" w:rsidR="002174E1" w:rsidRDefault="002174E1" w:rsidP="002D11CA">
      <w:pPr>
        <w:rPr>
          <w:rFonts w:ascii="Times New Roman" w:eastAsia="Times New Roman" w:hAnsi="Times New Roman" w:cs="Times New Roman"/>
          <w:b/>
          <w:color w:val="212121"/>
          <w:sz w:val="22"/>
          <w:szCs w:val="22"/>
          <w:shd w:val="clear" w:color="auto" w:fill="FFFFFF"/>
        </w:rPr>
      </w:pPr>
    </w:p>
    <w:p w14:paraId="7DE0F172" w14:textId="564A6566" w:rsidR="002C0041" w:rsidRPr="002C0041" w:rsidRDefault="002174E1" w:rsidP="002C0041">
      <w:pPr>
        <w:widowControl w:val="0"/>
        <w:autoSpaceDE w:val="0"/>
        <w:autoSpaceDN w:val="0"/>
        <w:adjustRightInd w:val="0"/>
        <w:ind w:left="640" w:hanging="640"/>
        <w:rPr>
          <w:rFonts w:ascii="Times New Roman" w:hAnsi="Times New Roman" w:cs="Times New Roman"/>
          <w:noProof/>
          <w:sz w:val="22"/>
        </w:rPr>
      </w:pPr>
      <w:r>
        <w:rPr>
          <w:rFonts w:ascii="Times New Roman" w:eastAsia="Times New Roman" w:hAnsi="Times New Roman" w:cs="Times New Roman"/>
          <w:b/>
          <w:color w:val="212121"/>
          <w:sz w:val="22"/>
          <w:szCs w:val="22"/>
          <w:shd w:val="clear" w:color="auto" w:fill="FFFFFF"/>
        </w:rPr>
        <w:fldChar w:fldCharType="begin" w:fldLock="1"/>
      </w:r>
      <w:r>
        <w:rPr>
          <w:rFonts w:ascii="Times New Roman" w:eastAsia="Times New Roman" w:hAnsi="Times New Roman" w:cs="Times New Roman"/>
          <w:b/>
          <w:color w:val="212121"/>
          <w:sz w:val="22"/>
          <w:szCs w:val="22"/>
          <w:shd w:val="clear" w:color="auto" w:fill="FFFFFF"/>
        </w:rPr>
        <w:instrText xml:space="preserve">ADDIN Mendeley Bibliography CSL_BIBLIOGRAPHY </w:instrText>
      </w:r>
      <w:r>
        <w:rPr>
          <w:rFonts w:ascii="Times New Roman" w:eastAsia="Times New Roman" w:hAnsi="Times New Roman" w:cs="Times New Roman"/>
          <w:b/>
          <w:color w:val="212121"/>
          <w:sz w:val="22"/>
          <w:szCs w:val="22"/>
          <w:shd w:val="clear" w:color="auto" w:fill="FFFFFF"/>
        </w:rPr>
        <w:fldChar w:fldCharType="separate"/>
      </w:r>
      <w:r w:rsidR="002C0041" w:rsidRPr="002C0041">
        <w:rPr>
          <w:rFonts w:ascii="Times New Roman" w:hAnsi="Times New Roman" w:cs="Times New Roman"/>
          <w:noProof/>
          <w:sz w:val="22"/>
        </w:rPr>
        <w:t>1.</w:t>
      </w:r>
      <w:r w:rsidR="002C0041" w:rsidRPr="002C0041">
        <w:rPr>
          <w:rFonts w:ascii="Times New Roman" w:hAnsi="Times New Roman" w:cs="Times New Roman"/>
          <w:noProof/>
          <w:sz w:val="22"/>
        </w:rPr>
        <w:tab/>
        <w:t xml:space="preserve">Pan, R. &amp; Allen, B. </w:t>
      </w:r>
      <w:r w:rsidR="002C0041" w:rsidRPr="002C0041">
        <w:rPr>
          <w:rFonts w:ascii="Times New Roman" w:hAnsi="Times New Roman" w:cs="Times New Roman"/>
          <w:i/>
          <w:iCs/>
          <w:noProof/>
          <w:sz w:val="22"/>
        </w:rPr>
        <w:t>Senate Bill No. 277</w:t>
      </w:r>
      <w:r w:rsidR="002C0041" w:rsidRPr="002C0041">
        <w:rPr>
          <w:rFonts w:ascii="Times New Roman" w:hAnsi="Times New Roman" w:cs="Times New Roman"/>
          <w:noProof/>
          <w:sz w:val="22"/>
        </w:rPr>
        <w:t>. 1–5 (2018).</w:t>
      </w:r>
    </w:p>
    <w:p w14:paraId="399BA850" w14:textId="77777777" w:rsidR="002C0041" w:rsidRPr="002C0041" w:rsidRDefault="002C0041" w:rsidP="002C0041">
      <w:pPr>
        <w:widowControl w:val="0"/>
        <w:autoSpaceDE w:val="0"/>
        <w:autoSpaceDN w:val="0"/>
        <w:adjustRightInd w:val="0"/>
        <w:ind w:left="640" w:hanging="640"/>
        <w:rPr>
          <w:rFonts w:ascii="Times New Roman" w:hAnsi="Times New Roman" w:cs="Times New Roman"/>
          <w:noProof/>
          <w:sz w:val="22"/>
        </w:rPr>
      </w:pPr>
      <w:r w:rsidRPr="002C0041">
        <w:rPr>
          <w:rFonts w:ascii="Times New Roman" w:hAnsi="Times New Roman" w:cs="Times New Roman"/>
          <w:noProof/>
          <w:sz w:val="22"/>
        </w:rPr>
        <w:t>2.</w:t>
      </w:r>
      <w:r w:rsidRPr="002C0041">
        <w:rPr>
          <w:rFonts w:ascii="Times New Roman" w:hAnsi="Times New Roman" w:cs="Times New Roman"/>
          <w:noProof/>
          <w:sz w:val="22"/>
        </w:rPr>
        <w:tab/>
        <w:t xml:space="preserve">Abadie, A., Gardeazabal, J., American, T., Review, E. &amp; Mar, N. The Economic Costs of Conflict : A Case Study of the Basque Country The Economic Costs of Conflict : A Case Study of the Basque Country. </w:t>
      </w:r>
      <w:r w:rsidRPr="002C0041">
        <w:rPr>
          <w:rFonts w:ascii="Times New Roman" w:hAnsi="Times New Roman" w:cs="Times New Roman"/>
          <w:i/>
          <w:iCs/>
          <w:noProof/>
          <w:sz w:val="22"/>
        </w:rPr>
        <w:t>Am. Econ. Rev.</w:t>
      </w:r>
      <w:r w:rsidRPr="002C0041">
        <w:rPr>
          <w:rFonts w:ascii="Times New Roman" w:hAnsi="Times New Roman" w:cs="Times New Roman"/>
          <w:noProof/>
          <w:sz w:val="22"/>
        </w:rPr>
        <w:t xml:space="preserve"> </w:t>
      </w:r>
      <w:r w:rsidRPr="002C0041">
        <w:rPr>
          <w:rFonts w:ascii="Times New Roman" w:hAnsi="Times New Roman" w:cs="Times New Roman"/>
          <w:b/>
          <w:bCs/>
          <w:noProof/>
          <w:sz w:val="22"/>
        </w:rPr>
        <w:t>93</w:t>
      </w:r>
      <w:r w:rsidRPr="002C0041">
        <w:rPr>
          <w:rFonts w:ascii="Times New Roman" w:hAnsi="Times New Roman" w:cs="Times New Roman"/>
          <w:noProof/>
          <w:sz w:val="22"/>
        </w:rPr>
        <w:t>, 113–132 (2007).</w:t>
      </w:r>
    </w:p>
    <w:p w14:paraId="2394CF52" w14:textId="77777777" w:rsidR="002C0041" w:rsidRPr="002C0041" w:rsidRDefault="002C0041" w:rsidP="002C0041">
      <w:pPr>
        <w:widowControl w:val="0"/>
        <w:autoSpaceDE w:val="0"/>
        <w:autoSpaceDN w:val="0"/>
        <w:adjustRightInd w:val="0"/>
        <w:ind w:left="640" w:hanging="640"/>
        <w:rPr>
          <w:rFonts w:ascii="Times New Roman" w:hAnsi="Times New Roman" w:cs="Times New Roman"/>
          <w:noProof/>
          <w:sz w:val="22"/>
        </w:rPr>
      </w:pPr>
      <w:r w:rsidRPr="002C0041">
        <w:rPr>
          <w:rFonts w:ascii="Times New Roman" w:hAnsi="Times New Roman" w:cs="Times New Roman"/>
          <w:noProof/>
          <w:sz w:val="22"/>
        </w:rPr>
        <w:t>3.</w:t>
      </w:r>
      <w:r w:rsidRPr="002C0041">
        <w:rPr>
          <w:rFonts w:ascii="Times New Roman" w:hAnsi="Times New Roman" w:cs="Times New Roman"/>
          <w:noProof/>
          <w:sz w:val="22"/>
        </w:rPr>
        <w:tab/>
        <w:t xml:space="preserve">Abadie, A., Diamond, A. &amp; Hainmueller, J. Synthetic Control Methods for Comparative Case Studies: Estimating the Effect of California’s Tobacco Control Program. </w:t>
      </w:r>
      <w:r w:rsidRPr="002C0041">
        <w:rPr>
          <w:rFonts w:ascii="Times New Roman" w:hAnsi="Times New Roman" w:cs="Times New Roman"/>
          <w:i/>
          <w:iCs/>
          <w:noProof/>
          <w:sz w:val="22"/>
        </w:rPr>
        <w:t>J. Am. Stat. Assoc.</w:t>
      </w:r>
      <w:r w:rsidRPr="002C0041">
        <w:rPr>
          <w:rFonts w:ascii="Times New Roman" w:hAnsi="Times New Roman" w:cs="Times New Roman"/>
          <w:noProof/>
          <w:sz w:val="22"/>
        </w:rPr>
        <w:t xml:space="preserve"> </w:t>
      </w:r>
      <w:r w:rsidRPr="002C0041">
        <w:rPr>
          <w:rFonts w:ascii="Times New Roman" w:hAnsi="Times New Roman" w:cs="Times New Roman"/>
          <w:b/>
          <w:bCs/>
          <w:noProof/>
          <w:sz w:val="22"/>
        </w:rPr>
        <w:t>105</w:t>
      </w:r>
      <w:r w:rsidRPr="002C0041">
        <w:rPr>
          <w:rFonts w:ascii="Times New Roman" w:hAnsi="Times New Roman" w:cs="Times New Roman"/>
          <w:noProof/>
          <w:sz w:val="22"/>
        </w:rPr>
        <w:t>, 493–505 (2010).</w:t>
      </w:r>
    </w:p>
    <w:p w14:paraId="1EE2307E" w14:textId="77777777" w:rsidR="002C0041" w:rsidRPr="002C0041" w:rsidRDefault="002C0041" w:rsidP="002C0041">
      <w:pPr>
        <w:widowControl w:val="0"/>
        <w:autoSpaceDE w:val="0"/>
        <w:autoSpaceDN w:val="0"/>
        <w:adjustRightInd w:val="0"/>
        <w:ind w:left="640" w:hanging="640"/>
        <w:rPr>
          <w:rFonts w:ascii="Times New Roman" w:hAnsi="Times New Roman" w:cs="Times New Roman"/>
          <w:noProof/>
          <w:sz w:val="22"/>
        </w:rPr>
      </w:pPr>
      <w:r w:rsidRPr="002C0041">
        <w:rPr>
          <w:rFonts w:ascii="Times New Roman" w:hAnsi="Times New Roman" w:cs="Times New Roman"/>
          <w:noProof/>
          <w:sz w:val="22"/>
        </w:rPr>
        <w:t>4.</w:t>
      </w:r>
      <w:r w:rsidRPr="002C0041">
        <w:rPr>
          <w:rFonts w:ascii="Times New Roman" w:hAnsi="Times New Roman" w:cs="Times New Roman"/>
          <w:noProof/>
          <w:sz w:val="22"/>
        </w:rPr>
        <w:tab/>
        <w:t xml:space="preserve">Abadie, A. Comparative Politics and the Synthetic Control Method Alexis Diamond – International Finance Corporation. </w:t>
      </w:r>
      <w:r w:rsidRPr="002C0041">
        <w:rPr>
          <w:rFonts w:ascii="Times New Roman" w:hAnsi="Times New Roman" w:cs="Times New Roman"/>
          <w:i/>
          <w:iCs/>
          <w:noProof/>
          <w:sz w:val="22"/>
        </w:rPr>
        <w:t>Am. J. Pol. Sci.</w:t>
      </w:r>
      <w:r w:rsidRPr="002C0041">
        <w:rPr>
          <w:rFonts w:ascii="Times New Roman" w:hAnsi="Times New Roman" w:cs="Times New Roman"/>
          <w:noProof/>
          <w:sz w:val="22"/>
        </w:rPr>
        <w:t xml:space="preserve"> 1–16 (2012). doi:10.1111/ajps.12116</w:t>
      </w:r>
    </w:p>
    <w:p w14:paraId="666B11FC" w14:textId="77777777" w:rsidR="002C0041" w:rsidRPr="002C0041" w:rsidRDefault="002C0041" w:rsidP="002C0041">
      <w:pPr>
        <w:widowControl w:val="0"/>
        <w:autoSpaceDE w:val="0"/>
        <w:autoSpaceDN w:val="0"/>
        <w:adjustRightInd w:val="0"/>
        <w:ind w:left="640" w:hanging="640"/>
        <w:rPr>
          <w:rFonts w:ascii="Times New Roman" w:hAnsi="Times New Roman" w:cs="Times New Roman"/>
          <w:noProof/>
          <w:sz w:val="22"/>
        </w:rPr>
      </w:pPr>
      <w:r w:rsidRPr="002C0041">
        <w:rPr>
          <w:rFonts w:ascii="Times New Roman" w:hAnsi="Times New Roman" w:cs="Times New Roman"/>
          <w:noProof/>
          <w:sz w:val="22"/>
        </w:rPr>
        <w:t>5.</w:t>
      </w:r>
      <w:r w:rsidRPr="002C0041">
        <w:rPr>
          <w:rFonts w:ascii="Times New Roman" w:hAnsi="Times New Roman" w:cs="Times New Roman"/>
          <w:noProof/>
          <w:sz w:val="22"/>
        </w:rPr>
        <w:tab/>
        <w:t xml:space="preserve">Lu, P. jun </w:t>
      </w:r>
      <w:r w:rsidRPr="002C0041">
        <w:rPr>
          <w:rFonts w:ascii="Times New Roman" w:hAnsi="Times New Roman" w:cs="Times New Roman"/>
          <w:i/>
          <w:iCs/>
          <w:noProof/>
          <w:sz w:val="22"/>
        </w:rPr>
        <w:t>et al.</w:t>
      </w:r>
      <w:r w:rsidRPr="002C0041">
        <w:rPr>
          <w:rFonts w:ascii="Times New Roman" w:hAnsi="Times New Roman" w:cs="Times New Roman"/>
          <w:noProof/>
          <w:sz w:val="22"/>
        </w:rPr>
        <w:t xml:space="preserve"> Association of Health Insurance Status and Vaccination Coverage among Adolescents 13-17 Years of Age. </w:t>
      </w:r>
      <w:r w:rsidRPr="002C0041">
        <w:rPr>
          <w:rFonts w:ascii="Times New Roman" w:hAnsi="Times New Roman" w:cs="Times New Roman"/>
          <w:i/>
          <w:iCs/>
          <w:noProof/>
          <w:sz w:val="22"/>
        </w:rPr>
        <w:t>J. Pediatr.</w:t>
      </w:r>
      <w:r w:rsidRPr="002C0041">
        <w:rPr>
          <w:rFonts w:ascii="Times New Roman" w:hAnsi="Times New Roman" w:cs="Times New Roman"/>
          <w:noProof/>
          <w:sz w:val="22"/>
        </w:rPr>
        <w:t xml:space="preserve"> </w:t>
      </w:r>
      <w:r w:rsidRPr="002C0041">
        <w:rPr>
          <w:rFonts w:ascii="Times New Roman" w:hAnsi="Times New Roman" w:cs="Times New Roman"/>
          <w:b/>
          <w:bCs/>
          <w:noProof/>
          <w:sz w:val="22"/>
        </w:rPr>
        <w:t>195</w:t>
      </w:r>
      <w:r w:rsidRPr="002C0041">
        <w:rPr>
          <w:rFonts w:ascii="Times New Roman" w:hAnsi="Times New Roman" w:cs="Times New Roman"/>
          <w:noProof/>
          <w:sz w:val="22"/>
        </w:rPr>
        <w:t>, 256–262.e1 (2018).</w:t>
      </w:r>
    </w:p>
    <w:p w14:paraId="349DE3F0" w14:textId="77777777" w:rsidR="002C0041" w:rsidRPr="002C0041" w:rsidRDefault="002C0041" w:rsidP="002C0041">
      <w:pPr>
        <w:widowControl w:val="0"/>
        <w:autoSpaceDE w:val="0"/>
        <w:autoSpaceDN w:val="0"/>
        <w:adjustRightInd w:val="0"/>
        <w:ind w:left="640" w:hanging="640"/>
        <w:rPr>
          <w:rFonts w:ascii="Times New Roman" w:hAnsi="Times New Roman" w:cs="Times New Roman"/>
          <w:noProof/>
          <w:sz w:val="22"/>
        </w:rPr>
      </w:pPr>
      <w:r w:rsidRPr="002C0041">
        <w:rPr>
          <w:rFonts w:ascii="Times New Roman" w:hAnsi="Times New Roman" w:cs="Times New Roman"/>
          <w:noProof/>
          <w:sz w:val="22"/>
        </w:rPr>
        <w:t>6.</w:t>
      </w:r>
      <w:r w:rsidRPr="002C0041">
        <w:rPr>
          <w:rFonts w:ascii="Times New Roman" w:hAnsi="Times New Roman" w:cs="Times New Roman"/>
          <w:noProof/>
          <w:sz w:val="22"/>
        </w:rPr>
        <w:tab/>
        <w:t xml:space="preserve">Birnbaum, M. S., Jacobs, E. T., Ralston-King, J. &amp; Ernst, K. C. Correlates of high vaccination exemption rates among kindergartens. </w:t>
      </w:r>
      <w:r w:rsidRPr="002C0041">
        <w:rPr>
          <w:rFonts w:ascii="Times New Roman" w:hAnsi="Times New Roman" w:cs="Times New Roman"/>
          <w:i/>
          <w:iCs/>
          <w:noProof/>
          <w:sz w:val="22"/>
        </w:rPr>
        <w:t>Vaccine</w:t>
      </w:r>
      <w:r w:rsidRPr="002C0041">
        <w:rPr>
          <w:rFonts w:ascii="Times New Roman" w:hAnsi="Times New Roman" w:cs="Times New Roman"/>
          <w:noProof/>
          <w:sz w:val="22"/>
        </w:rPr>
        <w:t xml:space="preserve"> </w:t>
      </w:r>
      <w:r w:rsidRPr="002C0041">
        <w:rPr>
          <w:rFonts w:ascii="Times New Roman" w:hAnsi="Times New Roman" w:cs="Times New Roman"/>
          <w:b/>
          <w:bCs/>
          <w:noProof/>
          <w:sz w:val="22"/>
        </w:rPr>
        <w:t>31</w:t>
      </w:r>
      <w:r w:rsidRPr="002C0041">
        <w:rPr>
          <w:rFonts w:ascii="Times New Roman" w:hAnsi="Times New Roman" w:cs="Times New Roman"/>
          <w:noProof/>
          <w:sz w:val="22"/>
        </w:rPr>
        <w:t>, 750–756 (2013).</w:t>
      </w:r>
    </w:p>
    <w:p w14:paraId="283E3D8A" w14:textId="77777777" w:rsidR="002C0041" w:rsidRPr="002C0041" w:rsidRDefault="002C0041" w:rsidP="002C0041">
      <w:pPr>
        <w:widowControl w:val="0"/>
        <w:autoSpaceDE w:val="0"/>
        <w:autoSpaceDN w:val="0"/>
        <w:adjustRightInd w:val="0"/>
        <w:ind w:left="640" w:hanging="640"/>
        <w:rPr>
          <w:rFonts w:ascii="Times New Roman" w:hAnsi="Times New Roman" w:cs="Times New Roman"/>
          <w:noProof/>
          <w:sz w:val="22"/>
        </w:rPr>
      </w:pPr>
      <w:r w:rsidRPr="002C0041">
        <w:rPr>
          <w:rFonts w:ascii="Times New Roman" w:hAnsi="Times New Roman" w:cs="Times New Roman"/>
          <w:noProof/>
          <w:sz w:val="22"/>
        </w:rPr>
        <w:t>7.</w:t>
      </w:r>
      <w:r w:rsidRPr="002C0041">
        <w:rPr>
          <w:rFonts w:ascii="Times New Roman" w:hAnsi="Times New Roman" w:cs="Times New Roman"/>
          <w:noProof/>
          <w:sz w:val="22"/>
        </w:rPr>
        <w:tab/>
        <w:t xml:space="preserve">Carpiano, R. M. &amp; Bettinger, J. A. Vaccine coverage for kindergarteners: Factors associated with school and area variation in Vancouver, British Columbia. </w:t>
      </w:r>
      <w:r w:rsidRPr="002C0041">
        <w:rPr>
          <w:rFonts w:ascii="Times New Roman" w:hAnsi="Times New Roman" w:cs="Times New Roman"/>
          <w:i/>
          <w:iCs/>
          <w:noProof/>
          <w:sz w:val="22"/>
        </w:rPr>
        <w:t>Vaccine Reports</w:t>
      </w:r>
      <w:r w:rsidRPr="002C0041">
        <w:rPr>
          <w:rFonts w:ascii="Times New Roman" w:hAnsi="Times New Roman" w:cs="Times New Roman"/>
          <w:noProof/>
          <w:sz w:val="22"/>
        </w:rPr>
        <w:t xml:space="preserve"> </w:t>
      </w:r>
      <w:r w:rsidRPr="002C0041">
        <w:rPr>
          <w:rFonts w:ascii="Times New Roman" w:hAnsi="Times New Roman" w:cs="Times New Roman"/>
          <w:b/>
          <w:bCs/>
          <w:noProof/>
          <w:sz w:val="22"/>
        </w:rPr>
        <w:t>6</w:t>
      </w:r>
      <w:r w:rsidRPr="002C0041">
        <w:rPr>
          <w:rFonts w:ascii="Times New Roman" w:hAnsi="Times New Roman" w:cs="Times New Roman"/>
          <w:noProof/>
          <w:sz w:val="22"/>
        </w:rPr>
        <w:t>, 50–55 (2016).</w:t>
      </w:r>
    </w:p>
    <w:p w14:paraId="76CB9851" w14:textId="77777777" w:rsidR="002C0041" w:rsidRPr="002C0041" w:rsidRDefault="002C0041" w:rsidP="002C0041">
      <w:pPr>
        <w:widowControl w:val="0"/>
        <w:autoSpaceDE w:val="0"/>
        <w:autoSpaceDN w:val="0"/>
        <w:adjustRightInd w:val="0"/>
        <w:ind w:left="640" w:hanging="640"/>
        <w:rPr>
          <w:rFonts w:ascii="Times New Roman" w:hAnsi="Times New Roman" w:cs="Times New Roman"/>
          <w:noProof/>
          <w:sz w:val="22"/>
        </w:rPr>
      </w:pPr>
      <w:r w:rsidRPr="002C0041">
        <w:rPr>
          <w:rFonts w:ascii="Times New Roman" w:hAnsi="Times New Roman" w:cs="Times New Roman"/>
          <w:noProof/>
          <w:sz w:val="22"/>
        </w:rPr>
        <w:t>8.</w:t>
      </w:r>
      <w:r w:rsidRPr="002C0041">
        <w:rPr>
          <w:rFonts w:ascii="Times New Roman" w:hAnsi="Times New Roman" w:cs="Times New Roman"/>
          <w:noProof/>
          <w:sz w:val="22"/>
        </w:rPr>
        <w:tab/>
        <w:t xml:space="preserve">CDC. VaxView | Vaccination Coverage | NIS | Home | CDC. </w:t>
      </w:r>
      <w:r w:rsidRPr="002C0041">
        <w:rPr>
          <w:rFonts w:ascii="Times New Roman" w:hAnsi="Times New Roman" w:cs="Times New Roman"/>
          <w:i/>
          <w:iCs/>
          <w:noProof/>
          <w:sz w:val="22"/>
        </w:rPr>
        <w:t>October 6, 2016</w:t>
      </w:r>
      <w:r w:rsidRPr="002C0041">
        <w:rPr>
          <w:rFonts w:ascii="Times New Roman" w:hAnsi="Times New Roman" w:cs="Times New Roman"/>
          <w:noProof/>
          <w:sz w:val="22"/>
        </w:rPr>
        <w:t xml:space="preserve"> Available at: https://www.cdc.gov/vaccines/vaxview/index.html. (Accessed: 27th November 2018)</w:t>
      </w:r>
    </w:p>
    <w:p w14:paraId="7B9F5CAC" w14:textId="77777777" w:rsidR="002C0041" w:rsidRPr="002C0041" w:rsidRDefault="002C0041" w:rsidP="002C0041">
      <w:pPr>
        <w:widowControl w:val="0"/>
        <w:autoSpaceDE w:val="0"/>
        <w:autoSpaceDN w:val="0"/>
        <w:adjustRightInd w:val="0"/>
        <w:ind w:left="640" w:hanging="640"/>
        <w:rPr>
          <w:rFonts w:ascii="Times New Roman" w:hAnsi="Times New Roman" w:cs="Times New Roman"/>
          <w:noProof/>
          <w:sz w:val="22"/>
        </w:rPr>
      </w:pPr>
      <w:r w:rsidRPr="002C0041">
        <w:rPr>
          <w:rFonts w:ascii="Times New Roman" w:hAnsi="Times New Roman" w:cs="Times New Roman"/>
          <w:noProof/>
          <w:sz w:val="22"/>
        </w:rPr>
        <w:t>9.</w:t>
      </w:r>
      <w:r w:rsidRPr="002C0041">
        <w:rPr>
          <w:rFonts w:ascii="Times New Roman" w:hAnsi="Times New Roman" w:cs="Times New Roman"/>
          <w:noProof/>
          <w:sz w:val="22"/>
        </w:rPr>
        <w:tab/>
        <w:t>United States Census Bureau. American FactFinder. Available at: https://factfinder.census.gov/faces/nav/jsf/pages/index.xhtml? (Accessed: 27th November 2018)</w:t>
      </w:r>
    </w:p>
    <w:p w14:paraId="2BB33F6D" w14:textId="77777777" w:rsidR="002C0041" w:rsidRPr="002C0041" w:rsidRDefault="002C0041" w:rsidP="002C0041">
      <w:pPr>
        <w:widowControl w:val="0"/>
        <w:autoSpaceDE w:val="0"/>
        <w:autoSpaceDN w:val="0"/>
        <w:adjustRightInd w:val="0"/>
        <w:ind w:left="640" w:hanging="640"/>
        <w:rPr>
          <w:rFonts w:ascii="Times New Roman" w:hAnsi="Times New Roman" w:cs="Times New Roman"/>
          <w:noProof/>
          <w:sz w:val="22"/>
        </w:rPr>
      </w:pPr>
      <w:r w:rsidRPr="002C0041">
        <w:rPr>
          <w:rFonts w:ascii="Times New Roman" w:hAnsi="Times New Roman" w:cs="Times New Roman"/>
          <w:noProof/>
          <w:sz w:val="22"/>
        </w:rPr>
        <w:t>10.</w:t>
      </w:r>
      <w:r w:rsidRPr="002C0041">
        <w:rPr>
          <w:rFonts w:ascii="Times New Roman" w:hAnsi="Times New Roman" w:cs="Times New Roman"/>
          <w:noProof/>
          <w:sz w:val="22"/>
        </w:rPr>
        <w:tab/>
        <w:t>Data Resource Center for Child and Adolescent Health. (2019). Available at: https://www.childhealthdata.org/. (Accessed: 7th January 2019)</w:t>
      </w:r>
    </w:p>
    <w:p w14:paraId="169505B4" w14:textId="77777777" w:rsidR="002C0041" w:rsidRPr="002C0041" w:rsidRDefault="002C0041" w:rsidP="002C0041">
      <w:pPr>
        <w:widowControl w:val="0"/>
        <w:autoSpaceDE w:val="0"/>
        <w:autoSpaceDN w:val="0"/>
        <w:adjustRightInd w:val="0"/>
        <w:ind w:left="640" w:hanging="640"/>
        <w:rPr>
          <w:rFonts w:ascii="Times New Roman" w:hAnsi="Times New Roman" w:cs="Times New Roman"/>
          <w:noProof/>
          <w:sz w:val="22"/>
        </w:rPr>
      </w:pPr>
      <w:r w:rsidRPr="002C0041">
        <w:rPr>
          <w:rFonts w:ascii="Times New Roman" w:hAnsi="Times New Roman" w:cs="Times New Roman"/>
          <w:noProof/>
          <w:sz w:val="22"/>
        </w:rPr>
        <w:t>11.</w:t>
      </w:r>
      <w:r w:rsidRPr="002C0041">
        <w:rPr>
          <w:rFonts w:ascii="Times New Roman" w:hAnsi="Times New Roman" w:cs="Times New Roman"/>
          <w:noProof/>
          <w:sz w:val="22"/>
        </w:rPr>
        <w:tab/>
        <w:t xml:space="preserve">Mcclelland, R. &amp; Gault, S. </w:t>
      </w:r>
      <w:r w:rsidRPr="002C0041">
        <w:rPr>
          <w:rFonts w:ascii="Times New Roman" w:hAnsi="Times New Roman" w:cs="Times New Roman"/>
          <w:i/>
          <w:iCs/>
          <w:noProof/>
          <w:sz w:val="22"/>
        </w:rPr>
        <w:t>The Synthetic Control Method as a Tool to Understand State Policy</w:t>
      </w:r>
      <w:r w:rsidRPr="002C0041">
        <w:rPr>
          <w:rFonts w:ascii="Times New Roman" w:hAnsi="Times New Roman" w:cs="Times New Roman"/>
          <w:noProof/>
          <w:sz w:val="22"/>
        </w:rPr>
        <w:t>. (2017).</w:t>
      </w:r>
    </w:p>
    <w:p w14:paraId="24984F47" w14:textId="2EAE17A4" w:rsidR="002174E1" w:rsidRPr="002D11CA" w:rsidRDefault="002174E1" w:rsidP="002C0041">
      <w:pPr>
        <w:widowControl w:val="0"/>
        <w:autoSpaceDE w:val="0"/>
        <w:autoSpaceDN w:val="0"/>
        <w:adjustRightInd w:val="0"/>
        <w:ind w:left="640" w:hanging="640"/>
        <w:rPr>
          <w:rFonts w:ascii="Times New Roman" w:eastAsia="Times New Roman" w:hAnsi="Times New Roman" w:cs="Times New Roman"/>
          <w:b/>
          <w:color w:val="212121"/>
          <w:sz w:val="22"/>
          <w:szCs w:val="22"/>
          <w:shd w:val="clear" w:color="auto" w:fill="FFFFFF"/>
        </w:rPr>
      </w:pPr>
      <w:r>
        <w:rPr>
          <w:rFonts w:ascii="Times New Roman" w:eastAsia="Times New Roman" w:hAnsi="Times New Roman" w:cs="Times New Roman"/>
          <w:b/>
          <w:color w:val="212121"/>
          <w:sz w:val="22"/>
          <w:szCs w:val="22"/>
          <w:shd w:val="clear" w:color="auto" w:fill="FFFFFF"/>
        </w:rPr>
        <w:fldChar w:fldCharType="end"/>
      </w:r>
    </w:p>
    <w:p w14:paraId="31C1817D" w14:textId="77777777" w:rsidR="00551A23" w:rsidRPr="00551A23" w:rsidRDefault="00551A23" w:rsidP="00551A23">
      <w:pPr>
        <w:ind w:left="720"/>
        <w:rPr>
          <w:rFonts w:ascii="Times New Roman" w:eastAsia="Times New Roman" w:hAnsi="Times New Roman" w:cs="Times New Roman"/>
          <w:color w:val="212121"/>
          <w:sz w:val="22"/>
          <w:szCs w:val="22"/>
          <w:shd w:val="clear" w:color="auto" w:fill="FFFFFF"/>
        </w:rPr>
      </w:pPr>
    </w:p>
    <w:p w14:paraId="0B468838" w14:textId="77777777" w:rsidR="008B49A4" w:rsidRPr="00F97219" w:rsidRDefault="008B49A4">
      <w:pPr>
        <w:rPr>
          <w:rFonts w:ascii="Times New Roman" w:hAnsi="Times New Roman" w:cs="Times New Roman"/>
        </w:rPr>
      </w:pPr>
    </w:p>
    <w:sectPr w:rsidR="008B49A4" w:rsidRPr="00F97219" w:rsidSect="0054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3124612"/>
    <w:multiLevelType w:val="hybridMultilevel"/>
    <w:tmpl w:val="FAC4F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43318"/>
    <w:multiLevelType w:val="hybridMultilevel"/>
    <w:tmpl w:val="605865EC"/>
    <w:lvl w:ilvl="0" w:tplc="9F04C796">
      <w:start w:val="202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7219"/>
    <w:rsid w:val="00001239"/>
    <w:rsid w:val="00031F46"/>
    <w:rsid w:val="000717A4"/>
    <w:rsid w:val="00075EE0"/>
    <w:rsid w:val="000C2ACA"/>
    <w:rsid w:val="00104436"/>
    <w:rsid w:val="001456BD"/>
    <w:rsid w:val="00156B65"/>
    <w:rsid w:val="001645BB"/>
    <w:rsid w:val="00190E17"/>
    <w:rsid w:val="002174E1"/>
    <w:rsid w:val="002835DB"/>
    <w:rsid w:val="002911AE"/>
    <w:rsid w:val="002C0041"/>
    <w:rsid w:val="002C0247"/>
    <w:rsid w:val="002D11CA"/>
    <w:rsid w:val="002D2FD2"/>
    <w:rsid w:val="0030725D"/>
    <w:rsid w:val="0033348E"/>
    <w:rsid w:val="0034004F"/>
    <w:rsid w:val="00367B61"/>
    <w:rsid w:val="00373F46"/>
    <w:rsid w:val="003822A6"/>
    <w:rsid w:val="0038480B"/>
    <w:rsid w:val="00387499"/>
    <w:rsid w:val="00397C25"/>
    <w:rsid w:val="00454B74"/>
    <w:rsid w:val="004821C5"/>
    <w:rsid w:val="004E220F"/>
    <w:rsid w:val="004F1642"/>
    <w:rsid w:val="00541C6A"/>
    <w:rsid w:val="00550983"/>
    <w:rsid w:val="00551A23"/>
    <w:rsid w:val="005876AD"/>
    <w:rsid w:val="005F27D3"/>
    <w:rsid w:val="00614E6C"/>
    <w:rsid w:val="006A607E"/>
    <w:rsid w:val="006E06F3"/>
    <w:rsid w:val="006E479D"/>
    <w:rsid w:val="006F7F69"/>
    <w:rsid w:val="007E7870"/>
    <w:rsid w:val="00832564"/>
    <w:rsid w:val="008B49A4"/>
    <w:rsid w:val="008C0BEB"/>
    <w:rsid w:val="00966133"/>
    <w:rsid w:val="0096644E"/>
    <w:rsid w:val="00981C53"/>
    <w:rsid w:val="009A3E2C"/>
    <w:rsid w:val="00A15DDD"/>
    <w:rsid w:val="00A45D67"/>
    <w:rsid w:val="00A55E64"/>
    <w:rsid w:val="00AD5374"/>
    <w:rsid w:val="00AE58F7"/>
    <w:rsid w:val="00AF1DA6"/>
    <w:rsid w:val="00B2713A"/>
    <w:rsid w:val="00B45132"/>
    <w:rsid w:val="00BA5AEF"/>
    <w:rsid w:val="00BE2855"/>
    <w:rsid w:val="00C41847"/>
    <w:rsid w:val="00C43ADE"/>
    <w:rsid w:val="00C53E83"/>
    <w:rsid w:val="00C74F32"/>
    <w:rsid w:val="00CB4CE9"/>
    <w:rsid w:val="00D15227"/>
    <w:rsid w:val="00D16244"/>
    <w:rsid w:val="00D66D7F"/>
    <w:rsid w:val="00D94837"/>
    <w:rsid w:val="00E21446"/>
    <w:rsid w:val="00E653D2"/>
    <w:rsid w:val="00EC287C"/>
    <w:rsid w:val="00F04CCD"/>
    <w:rsid w:val="00F816BB"/>
    <w:rsid w:val="00F97219"/>
    <w:rsid w:val="00FA7ED2"/>
    <w:rsid w:val="00FD7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BFF1F"/>
  <w15:docId w15:val="{ECB480AE-234F-3849-9067-FEB10A4A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1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7219"/>
  </w:style>
  <w:style w:type="paragraph" w:styleId="BalloonText">
    <w:name w:val="Balloon Text"/>
    <w:basedOn w:val="Normal"/>
    <w:link w:val="BalloonTextChar"/>
    <w:uiPriority w:val="99"/>
    <w:semiHidden/>
    <w:unhideWhenUsed/>
    <w:rsid w:val="003400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004F"/>
    <w:rPr>
      <w:rFonts w:ascii="Lucida Grande" w:hAnsi="Lucida Grande" w:cs="Lucida Grande"/>
      <w:sz w:val="18"/>
      <w:szCs w:val="18"/>
    </w:rPr>
  </w:style>
  <w:style w:type="character" w:styleId="CommentReference">
    <w:name w:val="annotation reference"/>
    <w:basedOn w:val="DefaultParagraphFont"/>
    <w:uiPriority w:val="99"/>
    <w:semiHidden/>
    <w:unhideWhenUsed/>
    <w:rsid w:val="0034004F"/>
    <w:rPr>
      <w:sz w:val="18"/>
      <w:szCs w:val="18"/>
    </w:rPr>
  </w:style>
  <w:style w:type="paragraph" w:styleId="CommentText">
    <w:name w:val="annotation text"/>
    <w:basedOn w:val="Normal"/>
    <w:link w:val="CommentTextChar"/>
    <w:uiPriority w:val="99"/>
    <w:semiHidden/>
    <w:unhideWhenUsed/>
    <w:rsid w:val="0034004F"/>
  </w:style>
  <w:style w:type="character" w:customStyle="1" w:styleId="CommentTextChar">
    <w:name w:val="Comment Text Char"/>
    <w:basedOn w:val="DefaultParagraphFont"/>
    <w:link w:val="CommentText"/>
    <w:uiPriority w:val="99"/>
    <w:semiHidden/>
    <w:rsid w:val="0034004F"/>
  </w:style>
  <w:style w:type="paragraph" w:styleId="CommentSubject">
    <w:name w:val="annotation subject"/>
    <w:basedOn w:val="CommentText"/>
    <w:next w:val="CommentText"/>
    <w:link w:val="CommentSubjectChar"/>
    <w:uiPriority w:val="99"/>
    <w:semiHidden/>
    <w:unhideWhenUsed/>
    <w:rsid w:val="0034004F"/>
    <w:rPr>
      <w:b/>
      <w:bCs/>
      <w:sz w:val="20"/>
      <w:szCs w:val="20"/>
    </w:rPr>
  </w:style>
  <w:style w:type="character" w:customStyle="1" w:styleId="CommentSubjectChar">
    <w:name w:val="Comment Subject Char"/>
    <w:basedOn w:val="CommentTextChar"/>
    <w:link w:val="CommentSubject"/>
    <w:uiPriority w:val="99"/>
    <w:semiHidden/>
    <w:rsid w:val="0034004F"/>
    <w:rPr>
      <w:b/>
      <w:bCs/>
      <w:sz w:val="20"/>
      <w:szCs w:val="20"/>
    </w:rPr>
  </w:style>
  <w:style w:type="paragraph" w:styleId="Revision">
    <w:name w:val="Revision"/>
    <w:hidden/>
    <w:uiPriority w:val="99"/>
    <w:semiHidden/>
    <w:rsid w:val="006F7F69"/>
  </w:style>
  <w:style w:type="paragraph" w:styleId="ListParagraph">
    <w:name w:val="List Paragraph"/>
    <w:basedOn w:val="Normal"/>
    <w:uiPriority w:val="34"/>
    <w:qFormat/>
    <w:rsid w:val="00D66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08864">
      <w:bodyDiv w:val="1"/>
      <w:marLeft w:val="0"/>
      <w:marRight w:val="0"/>
      <w:marTop w:val="0"/>
      <w:marBottom w:val="0"/>
      <w:divBdr>
        <w:top w:val="none" w:sz="0" w:space="0" w:color="auto"/>
        <w:left w:val="none" w:sz="0" w:space="0" w:color="auto"/>
        <w:bottom w:val="none" w:sz="0" w:space="0" w:color="auto"/>
        <w:right w:val="none" w:sz="0" w:space="0" w:color="auto"/>
      </w:divBdr>
    </w:div>
    <w:div w:id="1318151010">
      <w:bodyDiv w:val="1"/>
      <w:marLeft w:val="0"/>
      <w:marRight w:val="0"/>
      <w:marTop w:val="0"/>
      <w:marBottom w:val="0"/>
      <w:divBdr>
        <w:top w:val="none" w:sz="0" w:space="0" w:color="auto"/>
        <w:left w:val="none" w:sz="0" w:space="0" w:color="auto"/>
        <w:bottom w:val="none" w:sz="0" w:space="0" w:color="auto"/>
        <w:right w:val="none" w:sz="0" w:space="0" w:color="auto"/>
      </w:divBdr>
      <w:divsChild>
        <w:div w:id="1233389197">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2086999367">
              <w:marLeft w:val="0"/>
              <w:marRight w:val="0"/>
              <w:marTop w:val="0"/>
              <w:marBottom w:val="0"/>
              <w:divBdr>
                <w:top w:val="none" w:sz="0" w:space="0" w:color="auto"/>
                <w:left w:val="none" w:sz="0" w:space="0" w:color="auto"/>
                <w:bottom w:val="none" w:sz="0" w:space="0" w:color="auto"/>
                <w:right w:val="none" w:sz="0" w:space="0" w:color="auto"/>
              </w:divBdr>
              <w:divsChild>
                <w:div w:id="1360475113">
                  <w:marLeft w:val="0"/>
                  <w:marRight w:val="0"/>
                  <w:marTop w:val="0"/>
                  <w:marBottom w:val="0"/>
                  <w:divBdr>
                    <w:top w:val="none" w:sz="0" w:space="0" w:color="auto"/>
                    <w:left w:val="none" w:sz="0" w:space="0" w:color="auto"/>
                    <w:bottom w:val="none" w:sz="0" w:space="0" w:color="auto"/>
                    <w:right w:val="none" w:sz="0" w:space="0" w:color="auto"/>
                  </w:divBdr>
                  <w:divsChild>
                    <w:div w:id="767238763">
                      <w:marLeft w:val="0"/>
                      <w:marRight w:val="0"/>
                      <w:marTop w:val="0"/>
                      <w:marBottom w:val="0"/>
                      <w:divBdr>
                        <w:top w:val="none" w:sz="0" w:space="0" w:color="auto"/>
                        <w:left w:val="none" w:sz="0" w:space="0" w:color="auto"/>
                        <w:bottom w:val="none" w:sz="0" w:space="0" w:color="auto"/>
                        <w:right w:val="none" w:sz="0" w:space="0" w:color="auto"/>
                      </w:divBdr>
                      <w:divsChild>
                        <w:div w:id="997881585">
                          <w:marLeft w:val="0"/>
                          <w:marRight w:val="0"/>
                          <w:marTop w:val="0"/>
                          <w:marBottom w:val="0"/>
                          <w:divBdr>
                            <w:top w:val="none" w:sz="0" w:space="0" w:color="auto"/>
                            <w:left w:val="none" w:sz="0" w:space="0" w:color="auto"/>
                            <w:bottom w:val="none" w:sz="0" w:space="0" w:color="auto"/>
                            <w:right w:val="none" w:sz="0" w:space="0" w:color="auto"/>
                          </w:divBdr>
                          <w:divsChild>
                            <w:div w:id="709771196">
                              <w:marLeft w:val="0"/>
                              <w:marRight w:val="0"/>
                              <w:marTop w:val="0"/>
                              <w:marBottom w:val="0"/>
                              <w:divBdr>
                                <w:top w:val="none" w:sz="0" w:space="0" w:color="auto"/>
                                <w:left w:val="none" w:sz="0" w:space="0" w:color="auto"/>
                                <w:bottom w:val="none" w:sz="0" w:space="0" w:color="auto"/>
                                <w:right w:val="none" w:sz="0" w:space="0" w:color="auto"/>
                              </w:divBdr>
                              <w:divsChild>
                                <w:div w:id="4558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9592">
                      <w:marLeft w:val="0"/>
                      <w:marRight w:val="0"/>
                      <w:marTop w:val="0"/>
                      <w:marBottom w:val="0"/>
                      <w:divBdr>
                        <w:top w:val="none" w:sz="0" w:space="0" w:color="auto"/>
                        <w:left w:val="none" w:sz="0" w:space="0" w:color="auto"/>
                        <w:bottom w:val="none" w:sz="0" w:space="0" w:color="auto"/>
                        <w:right w:val="none" w:sz="0" w:space="0" w:color="auto"/>
                      </w:divBdr>
                      <w:divsChild>
                        <w:div w:id="2145004625">
                          <w:marLeft w:val="0"/>
                          <w:marRight w:val="0"/>
                          <w:marTop w:val="0"/>
                          <w:marBottom w:val="0"/>
                          <w:divBdr>
                            <w:top w:val="none" w:sz="0" w:space="0" w:color="auto"/>
                            <w:left w:val="none" w:sz="0" w:space="0" w:color="auto"/>
                            <w:bottom w:val="none" w:sz="0" w:space="0" w:color="auto"/>
                            <w:right w:val="none" w:sz="0" w:space="0" w:color="auto"/>
                          </w:divBdr>
                        </w:div>
                        <w:div w:id="1505168124">
                          <w:marLeft w:val="0"/>
                          <w:marRight w:val="0"/>
                          <w:marTop w:val="0"/>
                          <w:marBottom w:val="0"/>
                          <w:divBdr>
                            <w:top w:val="none" w:sz="0" w:space="0" w:color="auto"/>
                            <w:left w:val="none" w:sz="0" w:space="0" w:color="auto"/>
                            <w:bottom w:val="none" w:sz="0" w:space="0" w:color="auto"/>
                            <w:right w:val="none" w:sz="0" w:space="0" w:color="auto"/>
                          </w:divBdr>
                          <w:divsChild>
                            <w:div w:id="709184577">
                              <w:marLeft w:val="0"/>
                              <w:marRight w:val="0"/>
                              <w:marTop w:val="0"/>
                              <w:marBottom w:val="0"/>
                              <w:divBdr>
                                <w:top w:val="none" w:sz="0" w:space="0" w:color="auto"/>
                                <w:left w:val="none" w:sz="0" w:space="0" w:color="auto"/>
                                <w:bottom w:val="none" w:sz="0" w:space="0" w:color="auto"/>
                                <w:right w:val="none" w:sz="0" w:space="0" w:color="auto"/>
                              </w:divBdr>
                              <w:divsChild>
                                <w:div w:id="312297264">
                                  <w:marLeft w:val="0"/>
                                  <w:marRight w:val="0"/>
                                  <w:marTop w:val="0"/>
                                  <w:marBottom w:val="0"/>
                                  <w:divBdr>
                                    <w:top w:val="none" w:sz="0" w:space="0" w:color="auto"/>
                                    <w:left w:val="none" w:sz="0" w:space="0" w:color="auto"/>
                                    <w:bottom w:val="none" w:sz="0" w:space="0" w:color="auto"/>
                                    <w:right w:val="none" w:sz="0" w:space="0" w:color="auto"/>
                                  </w:divBdr>
                                  <w:divsChild>
                                    <w:div w:id="2146116277">
                                      <w:marLeft w:val="0"/>
                                      <w:marRight w:val="0"/>
                                      <w:marTop w:val="0"/>
                                      <w:marBottom w:val="0"/>
                                      <w:divBdr>
                                        <w:top w:val="none" w:sz="0" w:space="0" w:color="auto"/>
                                        <w:left w:val="none" w:sz="0" w:space="0" w:color="auto"/>
                                        <w:bottom w:val="none" w:sz="0" w:space="0" w:color="auto"/>
                                        <w:right w:val="none" w:sz="0" w:space="0" w:color="auto"/>
                                      </w:divBdr>
                                      <w:divsChild>
                                        <w:div w:id="709916393">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7096960">
                                      <w:marLeft w:val="0"/>
                                      <w:marRight w:val="0"/>
                                      <w:marTop w:val="0"/>
                                      <w:marBottom w:val="0"/>
                                      <w:divBdr>
                                        <w:top w:val="none" w:sz="0" w:space="0" w:color="auto"/>
                                        <w:left w:val="none" w:sz="0" w:space="0" w:color="auto"/>
                                        <w:bottom w:val="none" w:sz="0" w:space="0" w:color="auto"/>
                                        <w:right w:val="none" w:sz="0" w:space="0" w:color="auto"/>
                                      </w:divBdr>
                                      <w:divsChild>
                                        <w:div w:id="516047263">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2001032252">
                                      <w:marLeft w:val="0"/>
                                      <w:marRight w:val="0"/>
                                      <w:marTop w:val="0"/>
                                      <w:marBottom w:val="0"/>
                                      <w:divBdr>
                                        <w:top w:val="none" w:sz="0" w:space="0" w:color="auto"/>
                                        <w:left w:val="none" w:sz="0" w:space="0" w:color="auto"/>
                                        <w:bottom w:val="none" w:sz="0" w:space="0" w:color="auto"/>
                                        <w:right w:val="none" w:sz="0" w:space="0" w:color="auto"/>
                                      </w:divBdr>
                                      <w:divsChild>
                                        <w:div w:id="9593862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79652922">
                                  <w:marLeft w:val="0"/>
                                  <w:marRight w:val="0"/>
                                  <w:marTop w:val="0"/>
                                  <w:marBottom w:val="0"/>
                                  <w:divBdr>
                                    <w:top w:val="none" w:sz="0" w:space="0" w:color="auto"/>
                                    <w:left w:val="none" w:sz="0" w:space="0" w:color="auto"/>
                                    <w:bottom w:val="none" w:sz="0" w:space="0" w:color="auto"/>
                                    <w:right w:val="none" w:sz="0" w:space="0" w:color="auto"/>
                                  </w:divBdr>
                                  <w:divsChild>
                                    <w:div w:id="666399659">
                                      <w:marLeft w:val="0"/>
                                      <w:marRight w:val="0"/>
                                      <w:marTop w:val="0"/>
                                      <w:marBottom w:val="0"/>
                                      <w:divBdr>
                                        <w:top w:val="none" w:sz="0" w:space="0" w:color="auto"/>
                                        <w:left w:val="none" w:sz="0" w:space="0" w:color="auto"/>
                                        <w:bottom w:val="none" w:sz="0" w:space="0" w:color="auto"/>
                                        <w:right w:val="none" w:sz="0" w:space="0" w:color="auto"/>
                                      </w:divBdr>
                                      <w:divsChild>
                                        <w:div w:id="2339790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56988455">
                                      <w:marLeft w:val="0"/>
                                      <w:marRight w:val="0"/>
                                      <w:marTop w:val="0"/>
                                      <w:marBottom w:val="0"/>
                                      <w:divBdr>
                                        <w:top w:val="none" w:sz="0" w:space="0" w:color="auto"/>
                                        <w:left w:val="none" w:sz="0" w:space="0" w:color="auto"/>
                                        <w:bottom w:val="none" w:sz="0" w:space="0" w:color="auto"/>
                                        <w:right w:val="none" w:sz="0" w:space="0" w:color="auto"/>
                                      </w:divBdr>
                                      <w:divsChild>
                                        <w:div w:id="2694332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71481426">
                                      <w:marLeft w:val="0"/>
                                      <w:marRight w:val="0"/>
                                      <w:marTop w:val="0"/>
                                      <w:marBottom w:val="0"/>
                                      <w:divBdr>
                                        <w:top w:val="none" w:sz="0" w:space="0" w:color="auto"/>
                                        <w:left w:val="none" w:sz="0" w:space="0" w:color="auto"/>
                                        <w:bottom w:val="none" w:sz="0" w:space="0" w:color="auto"/>
                                        <w:right w:val="none" w:sz="0" w:space="0" w:color="auto"/>
                                      </w:divBdr>
                                      <w:divsChild>
                                        <w:div w:id="5720121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38162316">
                                  <w:marLeft w:val="0"/>
                                  <w:marRight w:val="0"/>
                                  <w:marTop w:val="0"/>
                                  <w:marBottom w:val="0"/>
                                  <w:divBdr>
                                    <w:top w:val="none" w:sz="0" w:space="0" w:color="auto"/>
                                    <w:left w:val="none" w:sz="0" w:space="0" w:color="auto"/>
                                    <w:bottom w:val="none" w:sz="0" w:space="0" w:color="auto"/>
                                    <w:right w:val="none" w:sz="0" w:space="0" w:color="auto"/>
                                  </w:divBdr>
                                  <w:divsChild>
                                    <w:div w:id="737215893">
                                      <w:marLeft w:val="0"/>
                                      <w:marRight w:val="0"/>
                                      <w:marTop w:val="0"/>
                                      <w:marBottom w:val="0"/>
                                      <w:divBdr>
                                        <w:top w:val="none" w:sz="0" w:space="0" w:color="auto"/>
                                        <w:left w:val="none" w:sz="0" w:space="0" w:color="auto"/>
                                        <w:bottom w:val="none" w:sz="0" w:space="0" w:color="auto"/>
                                        <w:right w:val="none" w:sz="0" w:space="0" w:color="auto"/>
                                      </w:divBdr>
                                      <w:divsChild>
                                        <w:div w:id="20924620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24992282">
                                      <w:marLeft w:val="0"/>
                                      <w:marRight w:val="0"/>
                                      <w:marTop w:val="0"/>
                                      <w:marBottom w:val="0"/>
                                      <w:divBdr>
                                        <w:top w:val="none" w:sz="0" w:space="0" w:color="auto"/>
                                        <w:left w:val="none" w:sz="0" w:space="0" w:color="auto"/>
                                        <w:bottom w:val="none" w:sz="0" w:space="0" w:color="auto"/>
                                        <w:right w:val="none" w:sz="0" w:space="0" w:color="auto"/>
                                      </w:divBdr>
                                      <w:divsChild>
                                        <w:div w:id="10021211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85802394">
                                      <w:marLeft w:val="0"/>
                                      <w:marRight w:val="0"/>
                                      <w:marTop w:val="0"/>
                                      <w:marBottom w:val="0"/>
                                      <w:divBdr>
                                        <w:top w:val="none" w:sz="0" w:space="0" w:color="auto"/>
                                        <w:left w:val="none" w:sz="0" w:space="0" w:color="auto"/>
                                        <w:bottom w:val="none" w:sz="0" w:space="0" w:color="auto"/>
                                        <w:right w:val="none" w:sz="0" w:space="0" w:color="auto"/>
                                      </w:divBdr>
                                      <w:divsChild>
                                        <w:div w:id="3233177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90347998">
                                  <w:marLeft w:val="0"/>
                                  <w:marRight w:val="0"/>
                                  <w:marTop w:val="0"/>
                                  <w:marBottom w:val="0"/>
                                  <w:divBdr>
                                    <w:top w:val="none" w:sz="0" w:space="0" w:color="auto"/>
                                    <w:left w:val="none" w:sz="0" w:space="0" w:color="auto"/>
                                    <w:bottom w:val="none" w:sz="0" w:space="0" w:color="auto"/>
                                    <w:right w:val="none" w:sz="0" w:space="0" w:color="auto"/>
                                  </w:divBdr>
                                  <w:divsChild>
                                    <w:div w:id="2075883022">
                                      <w:marLeft w:val="0"/>
                                      <w:marRight w:val="0"/>
                                      <w:marTop w:val="0"/>
                                      <w:marBottom w:val="0"/>
                                      <w:divBdr>
                                        <w:top w:val="none" w:sz="0" w:space="0" w:color="auto"/>
                                        <w:left w:val="none" w:sz="0" w:space="0" w:color="auto"/>
                                        <w:bottom w:val="none" w:sz="0" w:space="0" w:color="auto"/>
                                        <w:right w:val="none" w:sz="0" w:space="0" w:color="auto"/>
                                      </w:divBdr>
                                      <w:divsChild>
                                        <w:div w:id="128978098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9235866">
                                      <w:marLeft w:val="0"/>
                                      <w:marRight w:val="0"/>
                                      <w:marTop w:val="0"/>
                                      <w:marBottom w:val="0"/>
                                      <w:divBdr>
                                        <w:top w:val="none" w:sz="0" w:space="0" w:color="auto"/>
                                        <w:left w:val="none" w:sz="0" w:space="0" w:color="auto"/>
                                        <w:bottom w:val="none" w:sz="0" w:space="0" w:color="auto"/>
                                        <w:right w:val="none" w:sz="0" w:space="0" w:color="auto"/>
                                      </w:divBdr>
                                      <w:divsChild>
                                        <w:div w:id="7660816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95516735">
                                      <w:marLeft w:val="0"/>
                                      <w:marRight w:val="0"/>
                                      <w:marTop w:val="0"/>
                                      <w:marBottom w:val="0"/>
                                      <w:divBdr>
                                        <w:top w:val="none" w:sz="0" w:space="0" w:color="auto"/>
                                        <w:left w:val="none" w:sz="0" w:space="0" w:color="auto"/>
                                        <w:bottom w:val="none" w:sz="0" w:space="0" w:color="auto"/>
                                        <w:right w:val="none" w:sz="0" w:space="0" w:color="auto"/>
                                      </w:divBdr>
                                      <w:divsChild>
                                        <w:div w:id="1048149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24005571">
                                  <w:marLeft w:val="0"/>
                                  <w:marRight w:val="0"/>
                                  <w:marTop w:val="0"/>
                                  <w:marBottom w:val="0"/>
                                  <w:divBdr>
                                    <w:top w:val="none" w:sz="0" w:space="0" w:color="auto"/>
                                    <w:left w:val="none" w:sz="0" w:space="0" w:color="auto"/>
                                    <w:bottom w:val="none" w:sz="0" w:space="0" w:color="auto"/>
                                    <w:right w:val="none" w:sz="0" w:space="0" w:color="auto"/>
                                  </w:divBdr>
                                  <w:divsChild>
                                    <w:div w:id="1021736201">
                                      <w:marLeft w:val="0"/>
                                      <w:marRight w:val="0"/>
                                      <w:marTop w:val="0"/>
                                      <w:marBottom w:val="0"/>
                                      <w:divBdr>
                                        <w:top w:val="none" w:sz="0" w:space="0" w:color="auto"/>
                                        <w:left w:val="none" w:sz="0" w:space="0" w:color="auto"/>
                                        <w:bottom w:val="none" w:sz="0" w:space="0" w:color="auto"/>
                                        <w:right w:val="none" w:sz="0" w:space="0" w:color="auto"/>
                                      </w:divBdr>
                                      <w:divsChild>
                                        <w:div w:id="9601127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58194454">
                                      <w:marLeft w:val="0"/>
                                      <w:marRight w:val="0"/>
                                      <w:marTop w:val="0"/>
                                      <w:marBottom w:val="0"/>
                                      <w:divBdr>
                                        <w:top w:val="none" w:sz="0" w:space="0" w:color="auto"/>
                                        <w:left w:val="none" w:sz="0" w:space="0" w:color="auto"/>
                                        <w:bottom w:val="none" w:sz="0" w:space="0" w:color="auto"/>
                                        <w:right w:val="none" w:sz="0" w:space="0" w:color="auto"/>
                                      </w:divBdr>
                                      <w:divsChild>
                                        <w:div w:id="19562513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88096899">
                                      <w:marLeft w:val="0"/>
                                      <w:marRight w:val="0"/>
                                      <w:marTop w:val="0"/>
                                      <w:marBottom w:val="0"/>
                                      <w:divBdr>
                                        <w:top w:val="none" w:sz="0" w:space="0" w:color="auto"/>
                                        <w:left w:val="none" w:sz="0" w:space="0" w:color="auto"/>
                                        <w:bottom w:val="none" w:sz="0" w:space="0" w:color="auto"/>
                                        <w:right w:val="none" w:sz="0" w:space="0" w:color="auto"/>
                                      </w:divBdr>
                                      <w:divsChild>
                                        <w:div w:id="7416367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012678157">
                              <w:marLeft w:val="0"/>
                              <w:marRight w:val="0"/>
                              <w:marTop w:val="0"/>
                              <w:marBottom w:val="0"/>
                              <w:divBdr>
                                <w:top w:val="none" w:sz="0" w:space="0" w:color="auto"/>
                                <w:left w:val="none" w:sz="0" w:space="0" w:color="auto"/>
                                <w:bottom w:val="none" w:sz="0" w:space="0" w:color="auto"/>
                                <w:right w:val="none" w:sz="0" w:space="0" w:color="auto"/>
                              </w:divBdr>
                              <w:divsChild>
                                <w:div w:id="879898931">
                                  <w:marLeft w:val="0"/>
                                  <w:marRight w:val="0"/>
                                  <w:marTop w:val="0"/>
                                  <w:marBottom w:val="0"/>
                                  <w:divBdr>
                                    <w:top w:val="none" w:sz="0" w:space="0" w:color="auto"/>
                                    <w:left w:val="none" w:sz="0" w:space="0" w:color="auto"/>
                                    <w:bottom w:val="none" w:sz="0" w:space="0" w:color="auto"/>
                                    <w:right w:val="none" w:sz="0" w:space="0" w:color="auto"/>
                                  </w:divBdr>
                                  <w:divsChild>
                                    <w:div w:id="39404165">
                                      <w:marLeft w:val="0"/>
                                      <w:marRight w:val="0"/>
                                      <w:marTop w:val="0"/>
                                      <w:marBottom w:val="0"/>
                                      <w:divBdr>
                                        <w:top w:val="none" w:sz="0" w:space="0" w:color="auto"/>
                                        <w:left w:val="none" w:sz="0" w:space="0" w:color="auto"/>
                                        <w:bottom w:val="none" w:sz="0" w:space="0" w:color="auto"/>
                                        <w:right w:val="none" w:sz="0" w:space="0" w:color="auto"/>
                                      </w:divBdr>
                                      <w:divsChild>
                                        <w:div w:id="20772398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69944123">
                                      <w:marLeft w:val="0"/>
                                      <w:marRight w:val="0"/>
                                      <w:marTop w:val="0"/>
                                      <w:marBottom w:val="0"/>
                                      <w:divBdr>
                                        <w:top w:val="none" w:sz="0" w:space="0" w:color="auto"/>
                                        <w:left w:val="none" w:sz="0" w:space="0" w:color="auto"/>
                                        <w:bottom w:val="none" w:sz="0" w:space="0" w:color="auto"/>
                                        <w:right w:val="none" w:sz="0" w:space="0" w:color="auto"/>
                                      </w:divBdr>
                                      <w:divsChild>
                                        <w:div w:id="19491916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40096104">
                                      <w:marLeft w:val="0"/>
                                      <w:marRight w:val="0"/>
                                      <w:marTop w:val="0"/>
                                      <w:marBottom w:val="0"/>
                                      <w:divBdr>
                                        <w:top w:val="none" w:sz="0" w:space="0" w:color="auto"/>
                                        <w:left w:val="none" w:sz="0" w:space="0" w:color="auto"/>
                                        <w:bottom w:val="none" w:sz="0" w:space="0" w:color="auto"/>
                                        <w:right w:val="none" w:sz="0" w:space="0" w:color="auto"/>
                                      </w:divBdr>
                                      <w:divsChild>
                                        <w:div w:id="6346792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07945862">
                                      <w:marLeft w:val="0"/>
                                      <w:marRight w:val="0"/>
                                      <w:marTop w:val="0"/>
                                      <w:marBottom w:val="0"/>
                                      <w:divBdr>
                                        <w:top w:val="none" w:sz="0" w:space="0" w:color="auto"/>
                                        <w:left w:val="none" w:sz="0" w:space="0" w:color="auto"/>
                                        <w:bottom w:val="none" w:sz="0" w:space="0" w:color="auto"/>
                                        <w:right w:val="none" w:sz="0" w:space="0" w:color="auto"/>
                                      </w:divBdr>
                                      <w:divsChild>
                                        <w:div w:id="116813097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74019136">
                                  <w:marLeft w:val="0"/>
                                  <w:marRight w:val="0"/>
                                  <w:marTop w:val="0"/>
                                  <w:marBottom w:val="0"/>
                                  <w:divBdr>
                                    <w:top w:val="none" w:sz="0" w:space="0" w:color="auto"/>
                                    <w:left w:val="none" w:sz="0" w:space="0" w:color="auto"/>
                                    <w:bottom w:val="none" w:sz="0" w:space="0" w:color="auto"/>
                                    <w:right w:val="none" w:sz="0" w:space="0" w:color="auto"/>
                                  </w:divBdr>
                                  <w:divsChild>
                                    <w:div w:id="1967544595">
                                      <w:marLeft w:val="0"/>
                                      <w:marRight w:val="0"/>
                                      <w:marTop w:val="0"/>
                                      <w:marBottom w:val="0"/>
                                      <w:divBdr>
                                        <w:top w:val="none" w:sz="0" w:space="0" w:color="auto"/>
                                        <w:left w:val="none" w:sz="0" w:space="0" w:color="auto"/>
                                        <w:bottom w:val="none" w:sz="0" w:space="0" w:color="auto"/>
                                        <w:right w:val="none" w:sz="0" w:space="0" w:color="auto"/>
                                      </w:divBdr>
                                      <w:divsChild>
                                        <w:div w:id="3139210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88608742">
                                      <w:marLeft w:val="0"/>
                                      <w:marRight w:val="0"/>
                                      <w:marTop w:val="0"/>
                                      <w:marBottom w:val="0"/>
                                      <w:divBdr>
                                        <w:top w:val="none" w:sz="0" w:space="0" w:color="auto"/>
                                        <w:left w:val="none" w:sz="0" w:space="0" w:color="auto"/>
                                        <w:bottom w:val="none" w:sz="0" w:space="0" w:color="auto"/>
                                        <w:right w:val="none" w:sz="0" w:space="0" w:color="auto"/>
                                      </w:divBdr>
                                      <w:divsChild>
                                        <w:div w:id="116832713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5622530">
                                      <w:marLeft w:val="0"/>
                                      <w:marRight w:val="0"/>
                                      <w:marTop w:val="0"/>
                                      <w:marBottom w:val="0"/>
                                      <w:divBdr>
                                        <w:top w:val="none" w:sz="0" w:space="0" w:color="auto"/>
                                        <w:left w:val="none" w:sz="0" w:space="0" w:color="auto"/>
                                        <w:bottom w:val="none" w:sz="0" w:space="0" w:color="auto"/>
                                        <w:right w:val="none" w:sz="0" w:space="0" w:color="auto"/>
                                      </w:divBdr>
                                      <w:divsChild>
                                        <w:div w:id="17536204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16743469">
                                      <w:marLeft w:val="0"/>
                                      <w:marRight w:val="0"/>
                                      <w:marTop w:val="0"/>
                                      <w:marBottom w:val="0"/>
                                      <w:divBdr>
                                        <w:top w:val="none" w:sz="0" w:space="0" w:color="auto"/>
                                        <w:left w:val="none" w:sz="0" w:space="0" w:color="auto"/>
                                        <w:bottom w:val="none" w:sz="0" w:space="0" w:color="auto"/>
                                        <w:right w:val="none" w:sz="0" w:space="0" w:color="auto"/>
                                      </w:divBdr>
                                      <w:divsChild>
                                        <w:div w:id="7582090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23353719">
                                  <w:marLeft w:val="0"/>
                                  <w:marRight w:val="0"/>
                                  <w:marTop w:val="0"/>
                                  <w:marBottom w:val="0"/>
                                  <w:divBdr>
                                    <w:top w:val="none" w:sz="0" w:space="0" w:color="auto"/>
                                    <w:left w:val="none" w:sz="0" w:space="0" w:color="auto"/>
                                    <w:bottom w:val="none" w:sz="0" w:space="0" w:color="auto"/>
                                    <w:right w:val="none" w:sz="0" w:space="0" w:color="auto"/>
                                  </w:divBdr>
                                  <w:divsChild>
                                    <w:div w:id="1294558733">
                                      <w:marLeft w:val="0"/>
                                      <w:marRight w:val="0"/>
                                      <w:marTop w:val="0"/>
                                      <w:marBottom w:val="0"/>
                                      <w:divBdr>
                                        <w:top w:val="none" w:sz="0" w:space="0" w:color="auto"/>
                                        <w:left w:val="none" w:sz="0" w:space="0" w:color="auto"/>
                                        <w:bottom w:val="none" w:sz="0" w:space="0" w:color="auto"/>
                                        <w:right w:val="none" w:sz="0" w:space="0" w:color="auto"/>
                                      </w:divBdr>
                                      <w:divsChild>
                                        <w:div w:id="17336551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57199010">
                                      <w:marLeft w:val="0"/>
                                      <w:marRight w:val="0"/>
                                      <w:marTop w:val="0"/>
                                      <w:marBottom w:val="0"/>
                                      <w:divBdr>
                                        <w:top w:val="none" w:sz="0" w:space="0" w:color="auto"/>
                                        <w:left w:val="none" w:sz="0" w:space="0" w:color="auto"/>
                                        <w:bottom w:val="none" w:sz="0" w:space="0" w:color="auto"/>
                                        <w:right w:val="none" w:sz="0" w:space="0" w:color="auto"/>
                                      </w:divBdr>
                                      <w:divsChild>
                                        <w:div w:id="5477649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0120765">
                                      <w:marLeft w:val="0"/>
                                      <w:marRight w:val="0"/>
                                      <w:marTop w:val="0"/>
                                      <w:marBottom w:val="0"/>
                                      <w:divBdr>
                                        <w:top w:val="none" w:sz="0" w:space="0" w:color="auto"/>
                                        <w:left w:val="none" w:sz="0" w:space="0" w:color="auto"/>
                                        <w:bottom w:val="none" w:sz="0" w:space="0" w:color="auto"/>
                                        <w:right w:val="none" w:sz="0" w:space="0" w:color="auto"/>
                                      </w:divBdr>
                                      <w:divsChild>
                                        <w:div w:id="74785033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50398606">
                                      <w:marLeft w:val="0"/>
                                      <w:marRight w:val="0"/>
                                      <w:marTop w:val="0"/>
                                      <w:marBottom w:val="0"/>
                                      <w:divBdr>
                                        <w:top w:val="none" w:sz="0" w:space="0" w:color="auto"/>
                                        <w:left w:val="none" w:sz="0" w:space="0" w:color="auto"/>
                                        <w:bottom w:val="none" w:sz="0" w:space="0" w:color="auto"/>
                                        <w:right w:val="none" w:sz="0" w:space="0" w:color="auto"/>
                                      </w:divBdr>
                                      <w:divsChild>
                                        <w:div w:id="16335532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45744452">
                                  <w:marLeft w:val="0"/>
                                  <w:marRight w:val="0"/>
                                  <w:marTop w:val="0"/>
                                  <w:marBottom w:val="0"/>
                                  <w:divBdr>
                                    <w:top w:val="none" w:sz="0" w:space="0" w:color="auto"/>
                                    <w:left w:val="none" w:sz="0" w:space="0" w:color="auto"/>
                                    <w:bottom w:val="none" w:sz="0" w:space="0" w:color="auto"/>
                                    <w:right w:val="none" w:sz="0" w:space="0" w:color="auto"/>
                                  </w:divBdr>
                                  <w:divsChild>
                                    <w:div w:id="786970256">
                                      <w:marLeft w:val="0"/>
                                      <w:marRight w:val="0"/>
                                      <w:marTop w:val="0"/>
                                      <w:marBottom w:val="0"/>
                                      <w:divBdr>
                                        <w:top w:val="none" w:sz="0" w:space="0" w:color="auto"/>
                                        <w:left w:val="none" w:sz="0" w:space="0" w:color="auto"/>
                                        <w:bottom w:val="none" w:sz="0" w:space="0" w:color="auto"/>
                                        <w:right w:val="none" w:sz="0" w:space="0" w:color="auto"/>
                                      </w:divBdr>
                                      <w:divsChild>
                                        <w:div w:id="16228364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94549219">
                                      <w:marLeft w:val="0"/>
                                      <w:marRight w:val="0"/>
                                      <w:marTop w:val="0"/>
                                      <w:marBottom w:val="0"/>
                                      <w:divBdr>
                                        <w:top w:val="none" w:sz="0" w:space="0" w:color="auto"/>
                                        <w:left w:val="none" w:sz="0" w:space="0" w:color="auto"/>
                                        <w:bottom w:val="none" w:sz="0" w:space="0" w:color="auto"/>
                                        <w:right w:val="none" w:sz="0" w:space="0" w:color="auto"/>
                                      </w:divBdr>
                                      <w:divsChild>
                                        <w:div w:id="141023416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90083015">
                                      <w:marLeft w:val="0"/>
                                      <w:marRight w:val="0"/>
                                      <w:marTop w:val="0"/>
                                      <w:marBottom w:val="0"/>
                                      <w:divBdr>
                                        <w:top w:val="none" w:sz="0" w:space="0" w:color="auto"/>
                                        <w:left w:val="none" w:sz="0" w:space="0" w:color="auto"/>
                                        <w:bottom w:val="none" w:sz="0" w:space="0" w:color="auto"/>
                                        <w:right w:val="none" w:sz="0" w:space="0" w:color="auto"/>
                                      </w:divBdr>
                                      <w:divsChild>
                                        <w:div w:id="2708639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27195763">
                                      <w:marLeft w:val="0"/>
                                      <w:marRight w:val="0"/>
                                      <w:marTop w:val="0"/>
                                      <w:marBottom w:val="0"/>
                                      <w:divBdr>
                                        <w:top w:val="none" w:sz="0" w:space="0" w:color="auto"/>
                                        <w:left w:val="none" w:sz="0" w:space="0" w:color="auto"/>
                                        <w:bottom w:val="none" w:sz="0" w:space="0" w:color="auto"/>
                                        <w:right w:val="none" w:sz="0" w:space="0" w:color="auto"/>
                                      </w:divBdr>
                                      <w:divsChild>
                                        <w:div w:id="18635198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82503187">
                                  <w:marLeft w:val="0"/>
                                  <w:marRight w:val="0"/>
                                  <w:marTop w:val="0"/>
                                  <w:marBottom w:val="0"/>
                                  <w:divBdr>
                                    <w:top w:val="none" w:sz="0" w:space="0" w:color="auto"/>
                                    <w:left w:val="none" w:sz="0" w:space="0" w:color="auto"/>
                                    <w:bottom w:val="none" w:sz="0" w:space="0" w:color="auto"/>
                                    <w:right w:val="none" w:sz="0" w:space="0" w:color="auto"/>
                                  </w:divBdr>
                                  <w:divsChild>
                                    <w:div w:id="2103724584">
                                      <w:marLeft w:val="0"/>
                                      <w:marRight w:val="0"/>
                                      <w:marTop w:val="0"/>
                                      <w:marBottom w:val="0"/>
                                      <w:divBdr>
                                        <w:top w:val="none" w:sz="0" w:space="0" w:color="auto"/>
                                        <w:left w:val="none" w:sz="0" w:space="0" w:color="auto"/>
                                        <w:bottom w:val="none" w:sz="0" w:space="0" w:color="auto"/>
                                        <w:right w:val="none" w:sz="0" w:space="0" w:color="auto"/>
                                      </w:divBdr>
                                      <w:divsChild>
                                        <w:div w:id="106433633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64509272">
                                      <w:marLeft w:val="0"/>
                                      <w:marRight w:val="0"/>
                                      <w:marTop w:val="0"/>
                                      <w:marBottom w:val="0"/>
                                      <w:divBdr>
                                        <w:top w:val="none" w:sz="0" w:space="0" w:color="auto"/>
                                        <w:left w:val="none" w:sz="0" w:space="0" w:color="auto"/>
                                        <w:bottom w:val="none" w:sz="0" w:space="0" w:color="auto"/>
                                        <w:right w:val="none" w:sz="0" w:space="0" w:color="auto"/>
                                      </w:divBdr>
                                      <w:divsChild>
                                        <w:div w:id="199413982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74146814">
                                      <w:marLeft w:val="0"/>
                                      <w:marRight w:val="0"/>
                                      <w:marTop w:val="0"/>
                                      <w:marBottom w:val="0"/>
                                      <w:divBdr>
                                        <w:top w:val="none" w:sz="0" w:space="0" w:color="auto"/>
                                        <w:left w:val="none" w:sz="0" w:space="0" w:color="auto"/>
                                        <w:bottom w:val="none" w:sz="0" w:space="0" w:color="auto"/>
                                        <w:right w:val="none" w:sz="0" w:space="0" w:color="auto"/>
                                      </w:divBdr>
                                      <w:divsChild>
                                        <w:div w:id="1961254407">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86081319">
                                      <w:marLeft w:val="0"/>
                                      <w:marRight w:val="0"/>
                                      <w:marTop w:val="0"/>
                                      <w:marBottom w:val="0"/>
                                      <w:divBdr>
                                        <w:top w:val="none" w:sz="0" w:space="0" w:color="auto"/>
                                        <w:left w:val="none" w:sz="0" w:space="0" w:color="auto"/>
                                        <w:bottom w:val="none" w:sz="0" w:space="0" w:color="auto"/>
                                        <w:right w:val="none" w:sz="0" w:space="0" w:color="auto"/>
                                      </w:divBdr>
                                      <w:divsChild>
                                        <w:div w:id="206124217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8F2C6-FC7A-D54C-BB3B-D058D860F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3951</Words>
  <Characters>22524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Sindiso Victor Nyathi</dc:creator>
  <cp:keywords/>
  <dc:description/>
  <cp:lastModifiedBy>Sindiso Victor Nyathi</cp:lastModifiedBy>
  <cp:revision>6</cp:revision>
  <dcterms:created xsi:type="dcterms:W3CDTF">2019-02-27T13:05:00Z</dcterms:created>
  <dcterms:modified xsi:type="dcterms:W3CDTF">2019-03-07T02:25:00Z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663e96c2-951c-3b3d-a519-2648e909707f</vt:lpwstr>
  </property>
</Properties>
</file>