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aps/>
          <w:color w:val="C17F4A"/>
          <w:sz w:val="20"/>
          <w:szCs w:val="20"/>
        </w:rPr>
        <w:t xml:space="preserve">MORNING STREET COFFEE CO.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Staffing, Merchandising &amp; Growth Case Study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Data Analyst Portfolio — Project 4  ·  Jan–Jun 2023 Transaction Data  ·  3 NYC Locations</w:t>
      </w: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case study uses six months of point-of-sale data (149,116 transactions across three NYC locations) to answer a single operational question: where should the business focus its limited attention right now — staffing, menu, or expansion — and what does the data actually support?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clearest, best-supported finding is a staffing one: morning hours (8–10am) generate roughly double the revenue per hour of the afternoon window (12–6pm), yet nothing in the data suggests staffing already reflects that gap. A no-added-cost reallocation of labor hours toward the morning is the single highest-confidence recommendation in this report. Two lower-stakes, high-confidence findings — a location-specific top seller at Hell's Kitchen, and inconsistent historical pricing on 15 products — round out the near-term action list. A fourth question the business will likely ask (should we open a 4th location?) cannot be answered from this dataset alone, and this report says so explicitly rather than guessing.</w:t>
      </w:r>
    </w:p>
    <w:p>
      <w:pPr>
        <w:pStyle w:val="Heading1"/>
        <w:spacing w:after="160" w:before="320"/>
      </w:pPr>
      <w:r>
        <w:t xml:space="preserve">Business Question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Given six months of transaction history across three stores, what should the business prioritize first: (a) how it staffs its stores, (b) what it features on the menu, or (c) whether and how it expands — and which of these does the data actually support strongly enough to act on?</w:t>
      </w:r>
    </w:p>
    <w:p>
      <w:pPr>
        <w:pStyle w:val="Heading1"/>
        <w:spacing w:after="160" w:before="320"/>
      </w:pPr>
      <w:r>
        <w:t xml:space="preserve">Data &amp; Methodology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Source: point-of-sale transaction log, January 1 – June 30, 2023 (181 days), 3 store locations (Lower Manhattan, Hell's Kitchen, Astoria), 9 product categories / 80 products. Revenue = transaction quantity × unit price.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This case study builds directly on two earlier project artifacts in this portfolio: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Project 1 (Excel) — pivot-table exploration establishing the baseline KPIs and monthly/hourly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Project 2 (SQL + Python) — a normalized relational database and window-function queries used to compute the peak-vs-trough hourly figures, per-store product rankings, and the pricing data-quality check used below.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Limitation stated up front: this dataset contains no staffing schedules, labor costs, real-estate/lease data, foot-traffic, or competitor information. Recommendations below are scoped to what transaction data can actually support; where a natural follow-up question needs data this report doesn't have, that's stated rather than estimated.</w:t>
      </w:r>
    </w:p>
    <w:p>
      <w:pPr>
        <w:pStyle w:val="Heading1"/>
        <w:spacing w:after="160" w:before="320"/>
      </w:pPr>
      <w:r>
        <w:t xml:space="preserve">Analysis</w:t>
      </w:r>
    </w:p>
    <w:p>
      <w:pPr>
        <w:pStyle w:val="Heading2"/>
        <w:spacing w:after="120" w:before="240"/>
      </w:pPr>
      <w:r>
        <w:t xml:space="preserve">1. Company-wide performance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8"/>
        <w:gridCol w:w="2338"/>
      </w:tblGrid>
      <w:tr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33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3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Avg. Ticket</w:t>
            </w:r>
          </w:p>
        </w:tc>
        <w:tc>
          <w:tcPr>
            <w:tcW w:type="dxa" w:w="233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</w:tr>
      <w:tr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$698,812.33</w:t>
            </w:r>
          </w:p>
        </w:tc>
        <w:tc>
          <w:tcPr>
            <w:tcW w:type="dxa" w:w="233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149,116</w:t>
            </w:r>
          </w:p>
        </w:tc>
        <w:tc>
          <w:tcPr>
            <w:tcW w:type="dxa" w:w="2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$4.69</w:t>
            </w:r>
          </w:p>
        </w:tc>
        <w:tc>
          <w:tcPr>
            <w:tcW w:type="dxa" w:w="23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214,470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1. Headline KPIs, Jan–Jun 2023.</w:t>
      </w:r>
    </w:p>
    <w:p>
      <w:pPr>
        <w:pStyle w:val="Heading2"/>
        <w:spacing w:after="120" w:before="240"/>
      </w:pPr>
      <w:r>
        <w:t xml:space="preserve">2. Store performance is balanced — this is not a location problem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00"/>
        <w:gridCol w:w="3000"/>
      </w:tblGrid>
      <w:tr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 of Total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Hell's Kitchen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$236,511.17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33.9%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Astoria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$232,243.91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33.2%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Lower Manhattan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$230,057.25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32.9%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2. Revenue by store.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All three stores fall within 1.5 percentage points of an even three-way split. Whatever the business decides to fix or improve, it should be a company-wide change, not a single-store turnaround plan — there's no underperforming location to target.</w:t>
      </w:r>
    </w:p>
    <w:p>
      <w:pPr>
        <w:pStyle w:val="Heading2"/>
        <w:spacing w:after="120" w:before="240"/>
      </w:pPr>
      <w:r>
        <w:t xml:space="preserve">3. Demand is heavily concentrated in the morning — the strongest staffing signal in the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3000"/>
        <w:gridCol w:w="3000"/>
      </w:tblGrid>
      <w:tr>
        <w:tc>
          <w:tcPr>
            <w:tcW w:type="dxa" w:w="3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/ Hour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Hours in Window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Morning peak (8–10am)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$85,514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Afternoon (12–5pm)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$40,809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3. Revenue per operating hour, morning peak vs. afternoon window.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Hours 8–10am alone account for 36.7% of total revenue despite being only 3 of roughly 15 operating hours per day. On a per-hour basis, the morning peak generates about 2.1x the revenue of the 12–6pm afternoon window. If labor hours are currently spread evenly across the day (the typical default for a business that hasn't analyzed this), each staff-hour in the morning is carrying roughly double the transaction volume of an afternoon staff-hour — a strong efficiency signal, though not proof of lost sales, since this dataset has no queue-time or staffing data to confirm a bottleneck exists.</w:t>
      </w:r>
    </w:p>
    <w:p>
      <w:pPr>
        <w:pStyle w:val="Heading2"/>
        <w:spacing w:after="120" w:before="240"/>
      </w:pPr>
      <w:r>
        <w:t xml:space="preserve">4. Revenue growth is real, but may be plateauing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117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 Change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$81,677.74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Feb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$76,145.19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-6.8%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$98,834.68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+29.8%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$118,941.08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+20.3%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May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$156,727.76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+31.8%</w:t>
            </w:r>
          </w:p>
        </w:tc>
      </w:tr>
      <w:tr>
        <w:tc>
          <w:tcPr>
            <w:tcW w:type="dxa" w:w="311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Jun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$166,485.88</w:t>
            </w:r>
          </w:p>
        </w:tc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+6.2%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4. Monthly revenue and month-over-month change.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Four consecutive months of double-digit growth (March–May) is a genuine trend, not noise. June's growth slowed to +6.2% — worth watching in Q3 data before assuming the summer ramp continues indefinitely.</w:t>
      </w:r>
    </w:p>
    <w:p>
      <w:pPr>
        <w:pStyle w:val="Heading2"/>
        <w:spacing w:after="120" w:before="240"/>
      </w:pPr>
      <w:r>
        <w:t xml:space="preserve">5. Store-level menu differences exist beneath a company-wide pattern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Two products — "Dark Chocolate Lg" and "Sustainably Grown Organic Lg" (both coffee) — rank in the top 3 sellers at every single store, so they're safe to feature chain-wide. But Hell's Kitchen's #1 seller, "Civet Cat" (a specialty coffee), doesn't place top-3 at either other location. That's a genuine local signal, not noise: a single uniform menu risks under-stocking a location-specific favorite.</w:t>
      </w:r>
    </w:p>
    <w:p>
      <w:pPr>
        <w:pStyle w:val="Heading2"/>
        <w:spacing w:after="120" w:before="240"/>
      </w:pPr>
      <w:r>
        <w:t xml:space="preserve">6. A data-quality issue that should gate any future pricing analysis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15 of the 80 products in the catalog (18.75%) were recorded at more than one unit price across the six-month period — in one case ("Organic Decaf Blend"), ranging from $12.00 to $28.00, more than double. This may be legitimate (e.g. multiple size variants sharing one product label) or a data-entry problem, but it should be confirmed with the business before anyone builds a pricing, discounting, or margin analysis on top of this data — those numbers would otherwise be unreliable.</w:t>
      </w:r>
    </w:p>
    <w:p>
      <w:pPr>
        <w:pStyle w:val="Heading1"/>
        <w:spacing w:after="160" w:before="320"/>
      </w:pPr>
      <w:r>
        <w:t xml:space="preserve">Recommendations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3600"/>
        <w:gridCol w:w="1650"/>
      </w:tblGrid>
      <w:t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Pilot reallocating labor hours from the 12–6pm window to the 8–10am window, at no change to total labor budget.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Morning-peak hours generate ~2.1x the revenue per hour of afternoon hours ($85,514 vs $40,809/hr).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"Dark Chocolate Lg" and "Sustainably Grown Organic Lg" company-wide; let Hell's Kitchen keep "Civet Cat" as a location-specific feature rather than rolling it out chain-wide.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Both items rank top-3 at all 3 stores; Civet Cat is Hell's Kitchen's #1 seller but doesn't place top-3 anywhere else.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 inventory and staffing for continued growth into Q3, but confirm the trend before committing to a large step-change (e.g. new hires, lease changes).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consecutive months of double-digit revenue growth (Mar–May); June growth slowed to +6.2%, a possible early plateau signal.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Before running any pricing or margin analysis, resolve the unit-price inconsistencies with the business (POS/data entry review).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of 80 products (18.75%) were recorded at more than one unit price across the period; one product ranged from $12.00 to $28.00.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 — as a data-quality gate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 not treat store performance as a location problem; do not pursue a 4th-location analysis using this dataset alone.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Revenue is split within 1.5 points across all 3 stores. This dataset has no real-estate, lease, or local-market data needed for a siting decision.</w:t>
            </w:r>
          </w:p>
        </w:tc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5. Recommendations, ranked by confidence in the underlying evidence.</w:t>
      </w:r>
    </w:p>
    <w:p>
      <w:pPr>
        <w:pStyle w:val="Heading1"/>
        <w:spacing w:after="160" w:before="320"/>
      </w:pPr>
      <w:r>
        <w:t xml:space="preserve">What This Data Cannot Answer</w:t>
      </w:r>
    </w:p>
    <w:p>
      <w:pPr>
        <w:spacing w:after="1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natural next question — should the business open a 4th NYC location? — cannot be answered from this dataset. Answering it responsibly would require real-estate and lease costs, local foot-traffic or demographic data, and competitive density by neighborhood, none of which exist here. Recommending expansion from transaction data alone would be a guess dressed up as analysis; this report declines to do that.</w:t>
      </w:r>
    </w:p>
    <w:p>
      <w:pPr>
        <w:pStyle w:val="Heading1"/>
        <w:spacing w:after="160" w:before="320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Pilot the morning staffing reallocation at one store for 4–6 weeks and re-measure transaction throughput and revenue during 8–10am before rolling out chain-wide.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pricing inconsistency with store/POS operations; correct at the source before any margin or discount analysis is attempted.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Re-run the monthly trend analysis once Q3 data is available to confirm whether June's slower growth was a plateau or a one-month blip.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a 4th-location decision becomes a real priority, scope a separate analysis that incorporates real-estate and market data — this report's dataset is not sufficient on its own.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Related portfolio projects: Project 1 (Excel pivot-table analysis), Project 2 (normalized SQL database + Python notebook), Project 3 (interactive sales dashboard).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17F4A" w:sz="8" w:space="4"/>
      </w:pBd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2026-08-27T23:12:04.839Z</dcterms:created>
  <dcterms:modified xsi:type="dcterms:W3CDTF">2026-08-27T23:12:04.852Z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