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2022-06-20</w:t>
      </w:r>
    </w:p>
    <w:bookmarkStart w:id="20"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change</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Surveys indices also influence risk-based decision making; however, such information is typically provided indirectly via estimates of uncertainty from stock assessment models that are calibrated using point estimates of trawlable abundance or biomass. Data limitations often preclude the use of complex assessment models and, as such, many stocks are assessed using survey indices. While model-based indices produced using geostatistical approaches</w:t>
      </w:r>
      <w:r>
        <w:t xml:space="preserve"> </w:t>
      </w:r>
      <w:r>
        <w:t xml:space="preserve">(e.g.,</w:t>
      </w:r>
      <w:r>
        <w:t xml:space="preserve"> </w:t>
      </w:r>
      <w:hyperlink w:anchor="ref-anderson2022">
        <w:r>
          <w:rPr>
            <w:rStyle w:val="Hyperlink"/>
          </w:rPr>
          <w:t xml:space="preserve">Anderson et al., 2022</w:t>
        </w:r>
      </w:hyperlink>
      <w:r>
        <w:t xml:space="preserve">;</w:t>
      </w:r>
      <w:r>
        <w:t xml:space="preserve"> </w:t>
      </w:r>
      <w:hyperlink w:anchor="ref-thorson2015">
        <w:r>
          <w:rPr>
            <w:rStyle w:val="Hyperlink"/>
          </w:rPr>
          <w:t xml:space="preserve">Thorson et al., 2015</w:t>
        </w:r>
      </w:hyperlink>
      <w:r>
        <w:t xml:space="preserve">)</w:t>
      </w:r>
      <w:r>
        <w:t xml:space="preserve"> </w:t>
      </w:r>
      <w:r>
        <w:t xml:space="preserve">are growing in popularity, design-based estimators continue to be widely used. In the Northwest Atlantic, surveys typically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w:t>
      </w:r>
      <w:r>
        <w:t xml:space="preserve">and indices are obtained using stratified analyses</w:t>
      </w:r>
      <w:r>
        <w:t xml:space="preserve"> </w:t>
      </w:r>
      <w:r>
        <w:t xml:space="preserve">(e.g.,</w:t>
      </w:r>
      <w:r>
        <w:t xml:space="preserve"> </w:t>
      </w:r>
      <w:hyperlink w:anchor="ref-smith1981">
        <w:r>
          <w:rPr>
            <w:rStyle w:val="Hyperlink"/>
          </w:rPr>
          <w:t xml:space="preserve">S. Smith and Somerton, 1981</w:t>
        </w:r>
      </w:hyperlink>
      <w:r>
        <w:t xml:space="preserve">)</w:t>
      </w:r>
      <w:r>
        <w:t xml:space="preserve">. Unfortunately, the quantification of uncertainty around these estimates remains a challenge. Quantiles from a Student’s t distribution are often used to approximate the uncertainty around stratified estimates; however, the lower limits of this approximation can result in negative values, which is unrealistic</w:t>
      </w:r>
      <w:r>
        <w:t xml:space="preserve"> </w:t>
      </w:r>
      <w:r>
        <w:t xml:space="preserve">(</w:t>
      </w:r>
      <w:hyperlink w:anchor="ref-cadigan2011">
        <w:r>
          <w:rPr>
            <w:rStyle w:val="Hyperlink"/>
          </w:rPr>
          <w:t xml:space="preserve">Cadigan, 2011</w:t>
        </w:r>
      </w:hyperlink>
      <w:r>
        <w:t xml:space="preserve">)</w:t>
      </w:r>
      <w:r>
        <w:t xml:space="preserve">. We propose an alternate approximation of uncertainty using the Gamma distribution which accounts for the positive and skewed nature of survey indices.</w:t>
      </w:r>
    </w:p>
    <w:bookmarkEnd w:id="20"/>
    <w:bookmarkStart w:id="22" w:name="methods"/>
    <w:p>
      <w:pPr>
        <w:pStyle w:val="Heading1"/>
      </w:pPr>
      <w:r>
        <w:t xml:space="preserve">Methods</w:t>
      </w:r>
    </w:p>
    <w:p>
      <w:pPr>
        <w:pStyle w:val="FirstParagraph"/>
      </w:pPr>
      <w:r>
        <w:t xml:space="preserve">Provided data from a stratified-random survey, average trawlable abundance or biomass (</w:t>
      </w:r>
      <m:oMath>
        <m:acc>
          <m:accPr>
            <m:chr m:val="̂"/>
          </m:accPr>
          <m:e>
            <m:r>
              <m:t>μ</m:t>
            </m:r>
          </m:e>
        </m:acc>
      </m:oMath>
      <w:r>
        <w:t xml:space="preserve">) and sampling variance (</w:t>
      </w:r>
      <m:oMath>
        <m:sSup>
          <m:e>
            <m:acc>
              <m:accPr>
                <m:chr m:val="̂"/>
              </m:accPr>
              <m:e>
                <m:r>
                  <m:t>σ</m:t>
                </m:r>
              </m:e>
            </m:acc>
          </m:e>
          <m:sup>
            <m:r>
              <m:t>2</m:t>
            </m:r>
          </m:sup>
        </m:sSup>
      </m:oMath>
      <w:r>
        <w:t xml:space="preserve">) can be estimated using standard design-based formula</w:t>
      </w:r>
      <w:r>
        <w:t xml:space="preserve"> </w:t>
      </w:r>
      <w:r>
        <w:t xml:space="preserve">(</w:t>
      </w:r>
      <w:hyperlink w:anchor="ref-cochran1977">
        <w:r>
          <w:rPr>
            <w:rStyle w:val="Hyperlink"/>
          </w:rPr>
          <w:t xml:space="preserve">Cochran, 1977</w:t>
        </w:r>
      </w:hyperlink>
      <w:r>
        <w:t xml:space="preserve">;</w:t>
      </w:r>
      <w:r>
        <w:t xml:space="preserve"> </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Instead of using a Student’s t distribution to describe uncertainty and allow negative values, we apply the Gamma distribution by translating</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to scale (</w:t>
      </w:r>
      <m:oMath>
        <m:acc>
          <m:accPr>
            <m:chr m:val="̂"/>
          </m:accPr>
          <m:e>
            <m:r>
              <m:t>θ</m:t>
            </m:r>
          </m:e>
        </m:acc>
      </m:oMath>
      <w:r>
        <w:t xml:space="preserve">) and shape (</w:t>
      </w:r>
      <m:oMath>
        <m:acc>
          <m:accPr>
            <m:chr m:val="̂"/>
          </m:accPr>
          <m:e>
            <m:r>
              <m:t>κ</m:t>
            </m:r>
          </m:e>
        </m:acc>
      </m:oMath>
      <w:r>
        <w:t xml:space="preserve">) parameters as follows: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t> </m:t>
          </m:r>
          <m:r>
            <m:rPr>
              <m:nor/>
              <m:sty m:val="p"/>
            </m:rPr>
            <m:t>and</m:t>
          </m:r>
          <m:r>
            <m:t> </m:t>
          </m:r>
          <m:r>
            <m:t> </m:t>
          </m:r>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r>
            <m:rPr>
              <m:sty m:val="p"/>
            </m:rPr>
            <m:t>.</m:t>
          </m:r>
        </m:oMath>
      </m:oMathPara>
    </w:p>
    <w:p>
      <w:pPr>
        <w:pStyle w:val="FirstParagraph"/>
      </w:pPr>
      <w:r>
        <w:t xml:space="preserve">Provided these values, density, quantile, and random functions for the Gamma distribution can be used to calculate probabilities. For instance, the probability that the index increased from one year to the next can be quantified. For some cases there might also be a need to calculate the probability that the current index is above or below an average level from a reference period,</w:t>
      </w:r>
      <w:r>
        <w:t xml:space="preserve"> </w:t>
      </w:r>
      <m:oMath>
        <m:sSub>
          <m:e>
            <m:acc>
              <m:accPr>
                <m:chr m:val="̂"/>
              </m:accPr>
              <m:e>
                <m:r>
                  <m:t>μ</m:t>
                </m:r>
              </m:e>
            </m:acc>
          </m:e>
          <m:sub>
            <m:r>
              <m:t>r</m:t>
            </m:r>
          </m:sub>
        </m:sSub>
      </m:oMath>
      <w:r>
        <w:t xml:space="preserve">. If the reference period is based on the index, then the level cannot be perfectly known. To account for uncertainty around this reference,</w:t>
      </w:r>
      <w:r>
        <w:t xml:space="preserve"> </w:t>
      </w:r>
      <m:oMath>
        <m:sSubSup>
          <m:e>
            <m:acc>
              <m:accPr>
                <m:chr m:val="̂"/>
              </m:accPr>
              <m:e>
                <m:r>
                  <m:t>σ</m:t>
                </m:r>
              </m:e>
            </m:acc>
          </m:e>
          <m:sub>
            <m:r>
              <m:t>r</m:t>
            </m:r>
          </m:sub>
          <m:sup>
            <m:r>
              <m:t>2</m:t>
            </m:r>
          </m:sup>
        </m:sSubSup>
      </m:oMath>
      <w:r>
        <w:t xml:space="preserve">, it is necessary to combine the variances across the indices. This is accomplished by averaging the means and summing equally weighted variances across a reference set of years</w:t>
      </w:r>
      <w:r>
        <w:t xml:space="preserve"> </w:t>
      </w:r>
      <m:oMath>
        <m:r>
          <m:t>R</m:t>
        </m:r>
      </m:oMath>
      <w:r>
        <w:t xml:space="preserve">,</w:t>
      </w:r>
    </w:p>
    <w:p>
      <w:pPr>
        <w:pStyle w:val="BodyText"/>
      </w:pPr>
      <m:oMathPara>
        <m:oMathParaPr>
          <m:jc m:val="center"/>
        </m:oMathParaPr>
        <m:oMath>
          <m:sSub>
            <m:e>
              <m:acc>
                <m:accPr>
                  <m:chr m:val="̂"/>
                </m:accPr>
                <m:e>
                  <m:r>
                    <m:t>μ</m:t>
                  </m:r>
                </m:e>
              </m:acc>
            </m:e>
            <m:sub>
              <m:r>
                <m:t>r</m:t>
              </m:r>
            </m:sub>
          </m:sSub>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acc>
                    <m:accPr>
                      <m:chr m:val="̂"/>
                    </m:accPr>
                    <m:e>
                      <m:sSub>
                        <m:e>
                          <m:r>
                            <m:t>μ</m:t>
                          </m:r>
                        </m:e>
                        <m:sub>
                          <m:r>
                            <m:t>y</m:t>
                          </m:r>
                        </m:sub>
                      </m:sSub>
                    </m:e>
                  </m:acc>
                </m:e>
              </m:nary>
            </m:num>
            <m:den>
              <m:r>
                <m:t>n</m:t>
              </m:r>
            </m:den>
          </m:f>
          <m:r>
            <m:rPr>
              <m:sty m:val="p"/>
            </m:rPr>
            <m:t>,</m:t>
          </m:r>
          <m:r>
            <m:t> </m:t>
          </m:r>
          <m:r>
            <m:rPr>
              <m:nor/>
              <m:sty m:val="p"/>
            </m:rPr>
            <m:t>and</m:t>
          </m:r>
          <m:r>
            <m:t> </m:t>
          </m:r>
          <m:sSubSup>
            <m:e>
              <m:acc>
                <m:accPr>
                  <m:chr m:val="̂"/>
                </m:accPr>
                <m:e>
                  <m:r>
                    <m:t>σ</m:t>
                  </m:r>
                </m:e>
              </m:acc>
            </m:e>
            <m:sub>
              <m:r>
                <m:t>r</m:t>
              </m:r>
            </m:sub>
            <m:sup>
              <m:r>
                <m:t>2</m:t>
              </m:r>
            </m:sup>
          </m:sSubSup>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acc>
                    <m:accPr>
                      <m:chr m:val="̂"/>
                    </m:accPr>
                    <m:e>
                      <m:sSubSup>
                        <m:e>
                          <m:r>
                            <m:t>σ</m:t>
                          </m:r>
                        </m:e>
                        <m:sub>
                          <m:r>
                            <m:t>y</m:t>
                          </m:r>
                        </m:sub>
                        <m:sup>
                          <m:r>
                            <m:t>2</m:t>
                          </m:r>
                        </m:sup>
                      </m:sSubSup>
                    </m:e>
                  </m:acc>
                </m:e>
              </m:nary>
            </m:num>
            <m:den>
              <m:r>
                <m:t>2</m:t>
              </m:r>
              <m:r>
                <m:t>n</m:t>
              </m:r>
            </m:den>
          </m:f>
          <m:r>
            <m:rPr>
              <m:sty m:val="p"/>
            </m:rPr>
            <m:t>.</m:t>
          </m:r>
        </m:oMath>
      </m:oMathPara>
    </w:p>
    <w:p>
      <w:pPr>
        <w:pStyle w:val="FirstParagraph"/>
      </w:pPr>
      <w:r>
        <w:t xml:space="preserve">This assumes that the estimates being averaged are independent. As above,</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converted to</w:t>
      </w:r>
      <w:r>
        <w:t xml:space="preserve"> </w:t>
      </w:r>
      <w:r>
        <w:t xml:space="preserve">$\hat{\theta}}$</w:t>
      </w:r>
      <w:r>
        <w:t xml:space="preserve"> </w:t>
      </w:r>
      <w:r>
        <w:t xml:space="preserve">and</w:t>
      </w:r>
      <w:r>
        <w:t xml:space="preserve"> </w:t>
      </w:r>
      <w:r>
        <w:t xml:space="preserve">$\hat{\kappa}}$</w:t>
      </w:r>
      <w:r>
        <w:t xml:space="preserve"> </w:t>
      </w:r>
      <w:r>
        <w:t xml:space="preserve">parameters to approximate uncertainty.</w:t>
      </w:r>
    </w:p>
    <w:bookmarkStart w:id="21" w:name="simulation"/>
    <w:p>
      <w:pPr>
        <w:pStyle w:val="Heading2"/>
      </w:pPr>
      <w:r>
        <w:t xml:space="preserve">Simulation</w:t>
      </w:r>
    </w:p>
    <w:p>
      <w:pPr>
        <w:pStyle w:val="FirstParagraph"/>
      </w:pPr>
      <w:r>
        <w:t xml:space="preserve">We simulated a redfish-like population using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on the Grand Bank. The simulated population were distributed through an area according to the age-year-space covariance with a parabolic relationship with depth. This survey area was 300 x 300 km with 10 km</w:t>
      </w:r>
      <w:r>
        <w:rPr>
          <w:vertAlign w:val="superscript"/>
        </w:rPr>
        <w:t xml:space="preserve">2</w:t>
      </w:r>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 xml:space="preserve">2</w:t>
      </w:r>
      <w:r>
        <w:t xml:space="preserve">) and the minimum set per stratum was 2. The survey simulation was replicated five times over the same population.</w:t>
      </w:r>
    </w:p>
    <w:p>
      <w:pPr>
        <w:pStyle w:val="BodyText"/>
      </w:pPr>
      <w:r>
        <w:t xml:space="preserve">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was calculated by year and replicate (20 years across 5 surveys) using standard design-based estimators</w:t>
      </w:r>
      <w:r>
        <w:t xml:space="preserve"> </w:t>
      </w:r>
      <w:r>
        <w:t xml:space="preserve">(</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w:t>
      </w:r>
      <w:r>
        <w:t xml:space="preserve">and these estimates were translated to scale and shape parameters for the Gamma distribution as described above. To compare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1000 times with the R package boot</w:t>
      </w:r>
      <w:r>
        <w:t xml:space="preserve"> </w:t>
      </w:r>
      <w:r>
        <w:t xml:space="preserve">(</w:t>
      </w:r>
      <w:hyperlink w:anchor="ref-canty2021">
        <w:r>
          <w:rPr>
            <w:rStyle w:val="Hyperlink"/>
          </w:rPr>
          <w:t xml:space="preserve">Canty and Ripley, 2021</w:t>
        </w:r>
      </w:hyperlink>
      <w:r>
        <w:t xml:space="preserve">)</w:t>
      </w:r>
      <w:r>
        <w:t xml:space="preserve">. Densities from these boostrap samples were computed for each year and survey replicate for comparison to the Gamma approximation.</w:t>
      </w:r>
    </w:p>
    <w:bookmarkEnd w:id="21"/>
    <w:bookmarkEnd w:id="22"/>
    <w:bookmarkStart w:id="23" w:name="application"/>
    <w:p>
      <w:pPr>
        <w:pStyle w:val="Heading1"/>
      </w:pPr>
      <w:r>
        <w:t xml:space="preserve">Application</w:t>
      </w:r>
    </w:p>
    <w:bookmarkEnd w:id="23"/>
    <w:bookmarkStart w:id="24" w:name="results-and-discussion"/>
    <w:p>
      <w:pPr>
        <w:pStyle w:val="Heading1"/>
      </w:pPr>
      <w:r>
        <w:t xml:space="preserve">Results and Discussion</w:t>
      </w:r>
    </w:p>
    <w:p>
      <w:pPr>
        <w:pStyle w:val="FirstParagraph"/>
      </w:pPr>
      <w:r>
        <w:t xml:space="preserve">The Gamma probability density distribution showed high variability among survey simulations at Year 20 (Figure 1). The bootstrapped estimates of each survey simulation also showed a similar pattern with the gamma probability distribution at Year 20 (Figure 2). When looking at the distribution of individual survey simulations, the gamma distribution showed a wider but very close approximation to the bootstrapped estimates distribution (Figure 3). Further quantitative analysis is required to assess the performance of these methods for calculating the confidence intervals.</w:t>
      </w:r>
    </w:p>
    <w:bookmarkEnd w:id="24"/>
    <w:bookmarkStart w:id="39" w:name="references"/>
    <w:p>
      <w:pPr>
        <w:pStyle w:val="Heading1"/>
      </w:pPr>
      <w:r>
        <w:t xml:space="preserve">References</w:t>
      </w:r>
    </w:p>
    <w:bookmarkStart w:id="38" w:name="refs"/>
    <w:bookmarkStart w:id="25" w:name="ref-anderson2022"/>
    <w:p>
      <w:pPr>
        <w:pStyle w:val="Bibliography"/>
      </w:pPr>
      <w:r>
        <w:t xml:space="preserve">Anderson, S. C., Ward, E. J., English, P. A., and Barnett, L. A. (2022).</w:t>
      </w:r>
      <w:r>
        <w:t xml:space="preserve"> </w:t>
      </w:r>
      <w:r>
        <w:t xml:space="preserve">sdmTMB</w:t>
      </w:r>
      <w:r>
        <w:t xml:space="preserve">: An</w:t>
      </w:r>
      <w:r>
        <w:t xml:space="preserve"> </w:t>
      </w:r>
      <w:r>
        <w:t xml:space="preserve">R</w:t>
      </w:r>
      <w:r>
        <w:t xml:space="preserve"> </w:t>
      </w:r>
      <w:r>
        <w:t xml:space="preserve">package for fast, flexible, and user-friendly generalized linear mixed effects models with spatial and spatiotemporal random fields.</w:t>
      </w:r>
      <w:r>
        <w:t xml:space="preserve"> </w:t>
      </w:r>
      <w:r>
        <w:rPr>
          <w:iCs/>
          <w:i/>
        </w:rPr>
        <w:t xml:space="preserve">bioRxiv</w:t>
      </w:r>
      <w:r>
        <w:t xml:space="preserve">.</w:t>
      </w:r>
    </w:p>
    <w:bookmarkEnd w:id="25"/>
    <w:bookmarkStart w:id="26"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6"/>
    <w:bookmarkStart w:id="27" w:name="ref-canty2021"/>
    <w:p>
      <w:pPr>
        <w:pStyle w:val="Bibliography"/>
      </w:pPr>
      <w:r>
        <w:t xml:space="preserve">Canty, A., and Ripley, B. D. (2021).</w:t>
      </w:r>
      <w:r>
        <w:t xml:space="preserve"> </w:t>
      </w:r>
      <w:r>
        <w:rPr>
          <w:iCs/>
          <w:i/>
        </w:rPr>
        <w:t xml:space="preserve">Boot: Bootstrap r (s-plus) functions</w:t>
      </w:r>
      <w:r>
        <w:t xml:space="preserve">.</w:t>
      </w:r>
    </w:p>
    <w:bookmarkEnd w:id="27"/>
    <w:bookmarkStart w:id="28" w:name="ref-cochran1977"/>
    <w:p>
      <w:pPr>
        <w:pStyle w:val="Bibliography"/>
      </w:pPr>
      <w:r>
        <w:t xml:space="preserve">Cochran, W. G. (1977).</w:t>
      </w:r>
      <w:r>
        <w:t xml:space="preserve"> </w:t>
      </w:r>
      <w:r>
        <w:rPr>
          <w:iCs/>
          <w:i/>
        </w:rPr>
        <w:t xml:space="preserve">Sampling techniques</w:t>
      </w:r>
      <w:r>
        <w:t xml:space="preserve">. John Wiley &amp; Sons.</w:t>
      </w:r>
    </w:p>
    <w:bookmarkEnd w:id="28"/>
    <w:bookmarkStart w:id="29"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29"/>
    <w:bookmarkStart w:id="30"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30"/>
    <w:bookmarkStart w:id="31"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1"/>
    <w:bookmarkStart w:id="33"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2">
        <w:r>
          <w:rPr>
            <w:rStyle w:val="Hyperlink"/>
          </w:rPr>
          <w:t xml:space="preserve">https://doi.org/10.1371/journal.pone.0232822</w:t>
        </w:r>
      </w:hyperlink>
    </w:p>
    <w:bookmarkEnd w:id="33"/>
    <w:bookmarkStart w:id="34"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4"/>
    <w:bookmarkStart w:id="35"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5"/>
    <w:bookmarkStart w:id="36" w:name="ref-smith1981"/>
    <w:p>
      <w:pPr>
        <w:pStyle w:val="Bibliography"/>
      </w:pPr>
      <w:r>
        <w:t xml:space="preserve">Smith, S., and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6"/>
    <w:bookmarkStart w:id="37" w:name="ref-thorson2015"/>
    <w:p>
      <w:pPr>
        <w:pStyle w:val="Bibliography"/>
      </w:pPr>
      <w:r>
        <w:t xml:space="preserve">Thorson, J. T., Shelton, A. O., Ward, E. J., and Skaug, H. J. (2015). Geostatistical delta-generalized linear mixed models improve precision for estimated abundance indices for</w:t>
      </w:r>
      <w:r>
        <w:t xml:space="preserve"> </w:t>
      </w:r>
      <w:r>
        <w:t xml:space="preserve">W</w:t>
      </w:r>
      <w:r>
        <w:t xml:space="preserve">est</w:t>
      </w:r>
      <w:r>
        <w:t xml:space="preserve"> </w:t>
      </w:r>
      <w:r>
        <w:t xml:space="preserve">C</w:t>
      </w:r>
      <w:r>
        <w:t xml:space="preserve">oast groundfishes.</w:t>
      </w:r>
      <w:r>
        <w:t xml:space="preserve"> </w:t>
      </w:r>
      <w:r>
        <w:rPr>
          <w:iCs/>
          <w:i/>
        </w:rPr>
        <w:t xml:space="preserve">ICES Journal of Marine Science</w:t>
      </w:r>
      <w:r>
        <w:t xml:space="preserve">,</w:t>
      </w:r>
      <w:r>
        <w:t xml:space="preserve"> </w:t>
      </w:r>
      <w:r>
        <w:rPr>
          <w:iCs/>
          <w:i/>
        </w:rPr>
        <w:t xml:space="preserve">72</w:t>
      </w:r>
      <w:r>
        <w:t xml:space="preserve">(5), 1297–1310.</w:t>
      </w:r>
    </w:p>
    <w:bookmarkEnd w:id="37"/>
    <w:bookmarkEnd w:id="38"/>
    <w:bookmarkEnd w:id="39"/>
    <w:bookmarkStart w:id="41" w:name="figures"/>
    <w:p>
      <w:pPr>
        <w:pStyle w:val="Heading1"/>
      </w:pPr>
      <w:r>
        <w:t xml:space="preserve">Figures</w:t>
      </w:r>
    </w:p>
    <w:p>
      <w:pPr>
        <w:pStyle w:val="CaptionedFigure"/>
      </w:pPr>
      <w:r>
        <w:drawing>
          <wp:inline>
            <wp:extent cx="5943600" cy="6736079"/>
            <wp:effectExtent b="0" l="0" r="0" t="0"/>
            <wp:docPr descr="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 title="" id="1" name="Picture"/>
            <a:graphic>
              <a:graphicData uri="http://schemas.openxmlformats.org/drawingml/2006/picture">
                <pic:pic>
                  <pic:nvPicPr>
                    <pic:cNvPr descr="knitr-figs-docx/comp-den-1.png" id="0" name="Picture"/>
                    <pic:cNvPicPr>
                      <a:picLocks noChangeArrowheads="1" noChangeAspect="1"/>
                    </pic:cNvPicPr>
                  </pic:nvPicPr>
                  <pic:blipFill>
                    <a:blip r:embed="rId40"/>
                    <a:stretch>
                      <a:fillRect/>
                    </a:stretch>
                  </pic:blipFill>
                  <pic:spPr bwMode="auto">
                    <a:xfrm>
                      <a:off x="0" y="0"/>
                      <a:ext cx="5943600" cy="6736079"/>
                    </a:xfrm>
                    <a:prstGeom prst="rect">
                      <a:avLst/>
                    </a:prstGeom>
                    <a:noFill/>
                    <a:ln w="9525">
                      <a:noFill/>
                      <a:headEnd/>
                      <a:tailEnd/>
                    </a:ln>
                  </pic:spPr>
                </pic:pic>
              </a:graphicData>
            </a:graphic>
          </wp:inline>
        </w:drawing>
      </w:r>
    </w:p>
    <w:p>
      <w:pPr>
        <w:pStyle w:val="ImageCaption"/>
      </w:pPr>
      <w:r>
        <w:t xml:space="preserve">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w:t>
      </w:r>
    </w:p>
    <w:bookmarkEnd w:id="41"/>
    <w:bookmarkStart w:id="42" w:name="app:appendix-a"/>
    <w:p>
      <w:pPr>
        <w:pStyle w:val="Heading1"/>
      </w:pPr>
      <w:r>
        <w:t xml:space="preserve">Appendix A</w:t>
      </w:r>
    </w:p>
    <w:p>
      <w:pPr>
        <w:pStyle w:val="FirstParagraph"/>
      </w:pPr>
      <w:r>
        <w:t xml:space="preserve">TODO</w:t>
      </w:r>
    </w:p>
    <w:p>
      <w:r>
        <w:br w:type="page"/>
      </w:r>
    </w:p>
    <w:bookmarkEnd w:id="42"/>
    <w:bookmarkStart w:id="44" w:name="colophon"/>
    <w:p>
      <w:pPr>
        <w:pStyle w:val="Heading1"/>
      </w:pPr>
      <w:r>
        <w:t xml:space="preserve">Colophon</w:t>
      </w:r>
    </w:p>
    <w:p>
      <w:pPr>
        <w:pStyle w:val="FirstParagraph"/>
      </w:pPr>
      <w:r>
        <w:t xml:space="preserve">This version of the document was generated on 2022-06-20 10:21:22 using the R markdown template for SCR documents from</w:t>
      </w:r>
      <w:r>
        <w:t xml:space="preserve"> </w:t>
      </w:r>
      <w:hyperlink r:id="rId43">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America/St_Johns</w:t>
      </w:r>
      <w:r>
        <w:br/>
      </w:r>
      <w:r>
        <w:rPr>
          <w:rStyle w:val="VerbatimChar"/>
        </w:rPr>
        <w:t xml:space="preserve">#&gt;  date     2022-06-20</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4.1.2)</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crayon        1.4.1      2021-02-08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ggridges      0.5.3      2021-01-08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labeling      0.4.2      2020-10-20 [1] CRAN (R 4.1.0)</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2022-06-13 [1] local</w:t>
      </w:r>
      <w:r>
        <w:br/>
      </w:r>
      <w:r>
        <w:rPr>
          <w:rStyle w:val="VerbatimChar"/>
        </w:rPr>
        <w:t xml:space="preserve">#&gt;  officer       0.4.0      2021-09-06 [1] CRAN (R 4.1.1)</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remotes       2.4.0      2021-06-02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44"/>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40" Target="media/rId40.png" /><Relationship Type="http://schemas.openxmlformats.org/officeDocument/2006/relationships/hyperlink" Id="rId32" Target="https://doi.org/10.1371/journal.pone.0232822" TargetMode="External" /><Relationship Type="http://schemas.openxmlformats.org/officeDocument/2006/relationships/hyperlink" Id="rId43"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2" Target="https://doi.org/10.1371/journal.pone.0232822" TargetMode="External" /><Relationship Type="http://schemas.openxmlformats.org/officeDocument/2006/relationships/hyperlink" Id="rId43"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2022-06-20T12:51:29Z</dcterms:created>
  <dcterms:modified xsi:type="dcterms:W3CDTF">2022-06-20T12:51:29Z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2022-06-20</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