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44.png" ContentType="image/png"/>
  <Override PartName="/word/media/rId43.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2022-06-20</w:t>
      </w:r>
    </w:p>
    <w:bookmarkStart w:id="20" w:name="abstract"/>
    <w:p>
      <w:pPr>
        <w:pStyle w:val="Heading1"/>
      </w:pPr>
      <w:r>
        <w:t xml:space="preserve">Abstract</w:t>
      </w:r>
    </w:p>
    <w:p>
      <w:pPr>
        <w:pStyle w:val="FirstParagraph"/>
      </w:pPr>
      <w:r>
        <w:t xml:space="preserve">Many data-limited stock assessments rely on survey indices for the provision of science advice. Design-based estimators of stock size are often applied, however, the quantification of uncertainty around these estimates remains a challenge. Standard practice has been to use quantiles from a Student’s t distribution even though this method sometimes produces negative intervals. As an alternate method, we propose the use of the Gamma distribution to approximate uncertainty around survey indices. This involves the translation of unbiased design-based mean and variance estimators to shape and scale parameters for the Gamma distribution. Via simulation testing, we show that densities derived from the Gamma distribution closely match densities derived from bootstraped samples of simulated survey data. We also highlight an application of this method to Redfish in NAFO division 3O. We argue that this approach offers a reasonable approximation of uncertainty that can be used to quantify stock status and inform risk-based management decisions.</w:t>
      </w:r>
    </w:p>
    <w:bookmarkEnd w:id="20"/>
    <w:bookmarkStart w:id="21"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Surveys indices 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 indices. While model-based indices produced using geostatistical approaches</w:t>
      </w:r>
      <w:r>
        <w:t xml:space="preserve"> </w:t>
      </w:r>
      <w:r>
        <w:t xml:space="preserve">(e.g.,</w:t>
      </w:r>
      <w:r>
        <w:t xml:space="preserve"> </w:t>
      </w:r>
      <w:hyperlink w:anchor="ref-anderson2022">
        <w:r>
          <w:rPr>
            <w:rStyle w:val="Hyperlink"/>
          </w:rPr>
          <w:t xml:space="preserve">Anderson et al., 2022</w:t>
        </w:r>
      </w:hyperlink>
      <w:r>
        <w:t xml:space="preserve">;</w:t>
      </w:r>
      <w:r>
        <w:t xml:space="preserve"> </w:t>
      </w:r>
      <w:hyperlink w:anchor="ref-thorson2015">
        <w:r>
          <w:rPr>
            <w:rStyle w:val="Hyperlink"/>
          </w:rPr>
          <w:t xml:space="preserve">Thorson et al., 2015</w:t>
        </w:r>
      </w:hyperlink>
      <w:r>
        <w:t xml:space="preserve">)</w:t>
      </w:r>
      <w:r>
        <w:t xml:space="preserve"> </w:t>
      </w:r>
      <w:r>
        <w:t xml:space="preserve">are growing in popularity, design-based estimators continue to be widely used. In the Northwest Atlantic, surveys typically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w:t>
      </w:r>
      <w:r>
        <w:t xml:space="preserve">and indices are obtained using stratified analyses</w:t>
      </w:r>
      <w:r>
        <w:t xml:space="preserve"> </w:t>
      </w:r>
      <w:r>
        <w:t xml:space="preserve">(e.g.,</w:t>
      </w:r>
      <w:r>
        <w:t xml:space="preserve"> </w:t>
      </w:r>
      <w:hyperlink w:anchor="ref-smith1981">
        <w:r>
          <w:rPr>
            <w:rStyle w:val="Hyperlink"/>
          </w:rPr>
          <w:t xml:space="preserve">S. Smith and Somerton, 1981</w:t>
        </w:r>
      </w:hyperlink>
      <w:r>
        <w:t xml:space="preserve">)</w:t>
      </w:r>
      <w:r>
        <w:t xml:space="preserve">. Unfortunately, the quantification of uncertainty around these estimates remains a challenge.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We propose an alternate approximation of uncertainty using the Gamma distribution which accounts for the positive and skewed nature of survey indices.</w:t>
      </w:r>
    </w:p>
    <w:bookmarkEnd w:id="21"/>
    <w:bookmarkStart w:id="24" w:name="methods"/>
    <w:p>
      <w:pPr>
        <w:pStyle w:val="Heading1"/>
      </w:pPr>
      <w:r>
        <w:t xml:space="preserve">Methods</w:t>
      </w:r>
    </w:p>
    <w:p>
      <w:pPr>
        <w:pStyle w:val="FirstParagraph"/>
      </w:pPr>
      <w:r>
        <w:t xml:space="preserve">Provided data from a stratified-random survey, average trawlable abundance or biomass (</w:t>
      </w:r>
      <m:oMath>
        <m:acc>
          <m:accPr>
            <m:chr m:val="̂"/>
          </m:accPr>
          <m:e>
            <m:r>
              <m:t>μ</m:t>
            </m:r>
          </m:e>
        </m:acc>
      </m:oMath>
      <w:r>
        <w:t xml:space="preserve">) and sampling variance (</w:t>
      </w:r>
      <m:oMath>
        <m:sSup>
          <m:e>
            <m:acc>
              <m:accPr>
                <m:chr m:val="̂"/>
              </m:accPr>
              <m:e>
                <m:r>
                  <m:t>σ</m:t>
                </m:r>
              </m:e>
            </m:acc>
          </m:e>
          <m:sup>
            <m:r>
              <m:t>2</m:t>
            </m:r>
          </m:sup>
        </m:sSup>
      </m:oMath>
      <w:r>
        <w:t xml:space="preserve">) can be estimated using standard design-based formula</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Instead of using a Student’s t distribution to describe uncertainty and allow negative values,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t> </m:t>
          </m:r>
          <m:r>
            <m:rPr>
              <m:nor/>
              <m:sty m:val="p"/>
            </m:rPr>
            <m:t>and</m:t>
          </m:r>
          <m:r>
            <m:t> </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rPr>
              <m:sty m:val="p"/>
            </m:rPr>
            <m:t>.</m:t>
          </m:r>
        </m:oMath>
      </m:oMathPara>
    </w:p>
    <w:p>
      <w:pPr>
        <w:pStyle w:val="FirstParagraph"/>
      </w:pPr>
      <w:r>
        <w:t xml:space="preserve">Provided these values, density, quantile, and random functions for the Gamma distribution can be used to calculate probabilities. For instance, the probability that the index increased from one year to the next can be quantified. For some cases there might also be a need to calculate the probability that the current index is above or below an average level from a reference period,</w:t>
      </w:r>
      <w:r>
        <w:t xml:space="preserve"> </w:t>
      </w:r>
      <m:oMath>
        <m:sSub>
          <m:e>
            <m:acc>
              <m:accPr>
                <m:chr m:val="̂"/>
              </m:accPr>
              <m:e>
                <m:r>
                  <m:t>μ</m:t>
                </m:r>
              </m:e>
            </m:acc>
          </m:e>
          <m:sub>
            <m:r>
              <m:t>r</m:t>
            </m:r>
          </m:sub>
        </m:sSub>
      </m:oMath>
      <w:r>
        <w:t xml:space="preserve">. If the reference period is based on the index, then the level cannot be perfectly known. To account for uncertainty around this reference,</w:t>
      </w:r>
      <w:r>
        <w:t xml:space="preserve"> </w:t>
      </w:r>
      <m:oMath>
        <m:sSubSup>
          <m:e>
            <m:acc>
              <m:accPr>
                <m:chr m:val="̂"/>
              </m:accPr>
              <m:e>
                <m:r>
                  <m:t>σ</m:t>
                </m:r>
              </m:e>
            </m:acc>
          </m:e>
          <m:sub>
            <m:r>
              <m:t>r</m:t>
            </m:r>
          </m:sub>
          <m:sup>
            <m:r>
              <m:t>2</m:t>
            </m:r>
          </m:sup>
        </m:sSubSup>
      </m:oMath>
      <w:r>
        <w:t xml:space="preserve">, it is necessary to combine the variances across the indices. This is accomplished by averaging the means and summing equally weighted variances across a reference set of years</w:t>
      </w:r>
      <w:r>
        <w:t xml:space="preserve"> </w:t>
      </w:r>
      <m:oMath>
        <m:r>
          <m:t>R</m:t>
        </m:r>
      </m:oMath>
      <w:r>
        <w:t xml:space="preserve">, where</w:t>
      </w:r>
      <w:r>
        <w:t xml:space="preserve"> </w:t>
      </w:r>
      <m:oMath>
        <m:d>
          <m:dPr>
            <m:begChr m:val="|"/>
            <m:endChr m:val="|"/>
            <m:sepChr m:val=""/>
            <m:grow/>
          </m:dPr>
          <m:e>
            <m:r>
              <m:t>R</m:t>
            </m:r>
          </m:e>
        </m:d>
      </m:oMath>
      <w:r>
        <w:t xml:space="preserve"> </w:t>
      </w:r>
      <w:r>
        <w:t xml:space="preserve">is the size of the set,</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d>
                <m:dPr>
                  <m:begChr m:val="|"/>
                  <m:endChr m:val="|"/>
                  <m:sepChr m:val=""/>
                  <m:grow/>
                </m:dPr>
                <m:e>
                  <m:r>
                    <m:t>R</m:t>
                  </m:r>
                </m:e>
              </m:d>
            </m:den>
          </m:f>
          <m:r>
            <m:rPr>
              <m:sty m:val="p"/>
            </m:rPr>
            <m:t>.</m:t>
          </m:r>
        </m:oMath>
      </m:oMathPara>
    </w:p>
    <w:p>
      <w:pPr>
        <w:pStyle w:val="FirstParagraph"/>
      </w:pPr>
      <w:r>
        <w:t xml:space="preserve">This assumes that the estimates being averaged are independent.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approximate uncertainty.</w:t>
      </w:r>
    </w:p>
    <w:bookmarkStart w:id="22" w:name="simulation"/>
    <w:p>
      <w:pPr>
        <w:pStyle w:val="Heading2"/>
      </w:pPr>
      <w:r>
        <w:t xml:space="preserve">Simulation</w:t>
      </w:r>
    </w:p>
    <w:p>
      <w:pPr>
        <w:pStyle w:val="FirstParagraph"/>
      </w:pPr>
      <w:r>
        <w:t xml:space="preserve">We simulated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on the Grand Bank. The simulated population were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and replicate (20 years across 5 surveys) using standard design-based estimators</w:t>
      </w:r>
      <w:r>
        <w:t xml:space="preserve"> </w:t>
      </w:r>
      <w:r>
        <w:t xml:space="preserve">(</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w:t>
      </w:r>
      <w:r>
        <w:t xml:space="preserve">and these estimates were translated to scale (</w:t>
      </w:r>
      <m:oMath>
        <m:acc>
          <m:accPr>
            <m:chr m:val="̂"/>
          </m:accPr>
          <m:e>
            <m:r>
              <m:t>θ</m:t>
            </m:r>
          </m:e>
        </m:acc>
      </m:oMath>
      <w:r>
        <w:t xml:space="preserve">) and shape (</w:t>
      </w:r>
      <m:oMath>
        <m:acc>
          <m:accPr>
            <m:chr m:val="̂"/>
          </m:accPr>
          <m:e>
            <m:r>
              <m:t>κ</m:t>
            </m:r>
          </m:e>
        </m:acc>
      </m:oMath>
      <w:r>
        <w:t xml:space="preserve">) parameters for the Gamma distribution as described above. 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boostrap samples were computed for each year and survey replicate for comparison to the Gamma approximation.</w:t>
      </w:r>
    </w:p>
    <w:p>
      <w:pPr>
        <w:pStyle w:val="BodyText"/>
      </w:pPr>
      <w:r>
        <w:t xml:space="preserve">This simulation can be replicated using code in</w:t>
      </w:r>
      <w:r>
        <w:t xml:space="preserve"> </w:t>
      </w:r>
      <w:hyperlink w:anchor="app:appendix-a">
        <w:r>
          <w:rPr>
            <w:rStyle w:val="Hyperlink"/>
          </w:rPr>
          <w:t xml:space="preserve">Appendix A</w:t>
        </w:r>
      </w:hyperlink>
      <w:r>
        <w:t xml:space="preserve">.</w:t>
      </w:r>
    </w:p>
    <w:bookmarkEnd w:id="22"/>
    <w:bookmarkStart w:id="23" w:name="application"/>
    <w:p>
      <w:pPr>
        <w:pStyle w:val="Heading2"/>
      </w:pPr>
      <w:r>
        <w:t xml:space="preserve">Application</w:t>
      </w:r>
    </w:p>
    <w:p>
      <w:pPr>
        <w:pStyle w:val="FirstParagraph"/>
      </w:pPr>
      <w:r>
        <w:t xml:space="preserve">During the 2022 assessment of Redfish in NAFO division 3O, candidate biomass reference points were examined using indices derived from the Canadian spring and fall surveys of 3O. Given relative stability in catches through the history of the fishery, and trends in survey indices, the survey time series is considered to represent normal conditions for this stock (i.e. no apparent prolonged period of collapse). The average of the survey time series was therefore considered a reasonable proxy for B</w:t>
      </w:r>
      <w:r>
        <w:rPr>
          <w:vertAlign w:val="subscript"/>
        </w:rPr>
        <w:t xml:space="preserve">MSY</w:t>
      </w:r>
      <w:r>
        <w:t xml:space="preserve"> </w:t>
      </w:r>
      <w:r>
        <w:t xml:space="preserve">[REF?] and, following the NAFO precautionary approach framework</w:t>
      </w:r>
      <w:r>
        <w:t xml:space="preserve"> </w:t>
      </w:r>
      <w:r>
        <w:t xml:space="preserve">(</w:t>
      </w:r>
      <w:hyperlink w:anchor="ref-nafo2004">
        <w:r>
          <w:rPr>
            <w:rStyle w:val="Hyperlink"/>
          </w:rPr>
          <w:t xml:space="preserve">NAFO, 2004</w:t>
        </w:r>
      </w:hyperlink>
      <w:r>
        <w:t xml:space="preserve">)</w:t>
      </w:r>
      <w:r>
        <w:t xml:space="preserve">, 30% of B</w:t>
      </w:r>
      <w:r>
        <w:rPr>
          <w:vertAlign w:val="subscript"/>
        </w:rPr>
        <w:t xml:space="preserve">MSY</w:t>
      </w:r>
      <w:r>
        <w:t xml:space="preserve"> </w:t>
      </w:r>
      <w:r>
        <w:t xml:space="preserve">would be considered the limit reference point (LRP).</w:t>
      </w:r>
    </w:p>
    <w:p>
      <w:pPr>
        <w:pStyle w:val="BodyText"/>
      </w:pPr>
      <w:r>
        <w:t xml:space="preserve">To combine indices from the spring and fall surveys, and account for uncertainty associated with estimates from both surveys, annual stratified means and variances from each survey were integrated using the properties of the variance and translated to shape and scale parameters for use in the gamma distribution following the abovementioned equations. In years when a survey index is missing, the available survey is used in place of the mean and variance estimate. This same approach was applied to account for the uncertainty in the B</w:t>
      </w:r>
      <w:r>
        <w:rPr>
          <w:vertAlign w:val="subscript"/>
        </w:rPr>
        <w:t xml:space="preserve">MSY</w:t>
      </w:r>
      <w:r>
        <w:t xml:space="preserve"> </w:t>
      </w:r>
      <w:r>
        <w:t xml:space="preserve">proxy by applying the gamma distribution informed by averaged point estimates of mean and variance.</w:t>
      </w:r>
    </w:p>
    <w:bookmarkEnd w:id="23"/>
    <w:bookmarkEnd w:id="24"/>
    <w:bookmarkStart w:id="25" w:name="results-and-discussion"/>
    <w:p>
      <w:pPr>
        <w:pStyle w:val="Heading1"/>
      </w:pPr>
      <w:r>
        <w:t xml:space="preserve">Results and Discussion</w:t>
      </w:r>
    </w:p>
    <w:p>
      <w:pPr>
        <w:pStyle w:val="FirstParagraph"/>
      </w:pPr>
      <w:r>
        <w:t xml:space="preserve">The Gamma probability density distribution showed high variability among survey simulations, as did the bootstrap samples (Figure</w:t>
      </w:r>
      <w:r>
        <w:t xml:space="preserve"> </w:t>
      </w:r>
      <w:r>
        <w:t xml:space="preserve">1</w:t>
      </w:r>
      <w:r>
        <w:t xml:space="preserve">. Nevertheless, the shape of both the Gamma density and the bootstrap samples were similar across all years and survey replicates, indicating that the Gamma distribution provides a reasonable approximation of the uncertainty around the stratified estimates. The similarity holds when survey indices are aggregated (Figure</w:t>
      </w:r>
      <w:r>
        <w:t xml:space="preserve"> </w:t>
      </w:r>
      <w:r>
        <w:t xml:space="preserve">2</w:t>
      </w:r>
      <w:r>
        <w:t xml:space="preserve">). Though further quantitative analysis is required to assess the performance of these methods for calculating the confidence intervals, these results indicate that confidence intervals from the Gamma approach would be similar to those obtained using bootstrap samples. At the very least, confidence intervals from the Gamma distribution represents an improvement over the sometimes negative intervals derived from the t-distribution.</w:t>
      </w:r>
    </w:p>
    <w:p>
      <w:pPr>
        <w:pStyle w:val="BodyText"/>
      </w:pPr>
      <w:r>
        <w:t xml:space="preserve">The B</w:t>
      </w:r>
      <w:r>
        <w:rPr>
          <w:vertAlign w:val="subscript"/>
        </w:rPr>
        <w:t xml:space="preserve">MSY</w:t>
      </w:r>
      <w:r>
        <w:t xml:space="preserve"> </w:t>
      </w:r>
      <w:r>
        <w:t xml:space="preserve">proxy and associated limit reference point (30% B</w:t>
      </w:r>
      <w:r>
        <w:rPr>
          <w:vertAlign w:val="subscript"/>
        </w:rPr>
        <w:t xml:space="preserve">MSY</w:t>
      </w:r>
      <w:r>
        <w:t xml:space="preserve"> </w:t>
      </w:r>
      <w:r>
        <w:t xml:space="preserve">proxy) proposed for redfish was accepted as an interim reference point as was the Gamma-based method for quantifying uncertainty. Since this proxy is based on survey indices, it is not considered perfectly known. Estimates were therefore aggregated to account for this uncertainty. Determining status relative to the LRP considering uncertainty in both the proxy-BMSY and the current Biomass level provides was considered the most fulsome formulation of uncertainty in stock status and the most precautionary approach to advice.</w:t>
      </w:r>
    </w:p>
    <w:p>
      <w:pPr>
        <w:pStyle w:val="BodyText"/>
      </w:pPr>
      <w:r>
        <w:t xml:space="preserve">It is important to note, however, that survey indices can show unrealistic fluctuations year over year. This is apparent in both the simulations and across the refish indices. Large inter-annual fluctuations may be a consequence of sampling noise or distribution shifts. A single year may therefore be insufficient to indicate a true change in stock status.</w:t>
      </w:r>
    </w:p>
    <w:bookmarkEnd w:id="25"/>
    <w:bookmarkStart w:id="41" w:name="references"/>
    <w:p>
      <w:pPr>
        <w:pStyle w:val="Heading1"/>
      </w:pPr>
      <w:r>
        <w:t xml:space="preserve">References</w:t>
      </w:r>
    </w:p>
    <w:bookmarkStart w:id="40" w:name="refs"/>
    <w:bookmarkStart w:id="26" w:name="ref-anderson2022"/>
    <w:p>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6"/>
    <w:bookmarkStart w:id="27"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7"/>
    <w:bookmarkStart w:id="28" w:name="ref-canty2021"/>
    <w:p>
      <w:pPr>
        <w:pStyle w:val="Bibliography"/>
      </w:pPr>
      <w:r>
        <w:t xml:space="preserve">Canty, A., and Ripley, B. D. (2021).</w:t>
      </w:r>
      <w:r>
        <w:t xml:space="preserve"> </w:t>
      </w:r>
      <w:r>
        <w:rPr>
          <w:iCs/>
          <w:i/>
        </w:rPr>
        <w:t xml:space="preserve">Boot: Bootstrap r (s-plus) functions</w:t>
      </w:r>
      <w:r>
        <w:t xml:space="preserve">.</w:t>
      </w:r>
    </w:p>
    <w:bookmarkEnd w:id="28"/>
    <w:bookmarkStart w:id="29" w:name="ref-cochran1977"/>
    <w:p>
      <w:pPr>
        <w:pStyle w:val="Bibliography"/>
      </w:pPr>
      <w:r>
        <w:t xml:space="preserve">Cochran, W. G. (1977).</w:t>
      </w:r>
      <w:r>
        <w:t xml:space="preserve"> </w:t>
      </w:r>
      <w:r>
        <w:rPr>
          <w:iCs/>
          <w:i/>
        </w:rPr>
        <w:t xml:space="preserve">Sampling techniques</w:t>
      </w:r>
      <w:r>
        <w:t xml:space="preserve">. John Wiley &amp; Sons.</w:t>
      </w:r>
    </w:p>
    <w:bookmarkEnd w:id="29"/>
    <w:bookmarkStart w:id="30"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30"/>
    <w:bookmarkStart w:id="31"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1"/>
    <w:bookmarkStart w:id="32" w:name="ref-nafo2004"/>
    <w:p>
      <w:pPr>
        <w:pStyle w:val="Bibliography"/>
      </w:pPr>
      <w:r>
        <w:t xml:space="preserve">NAFO. (2004).</w:t>
      </w:r>
      <w:r>
        <w:t xml:space="preserve"> </w:t>
      </w:r>
      <w:r>
        <w:t xml:space="preserve">NAFO Precautionary Approach Framework</w:t>
      </w:r>
      <w:r>
        <w:t xml:space="preserve">.</w:t>
      </w:r>
      <w:r>
        <w:t xml:space="preserve"> </w:t>
      </w:r>
      <w:r>
        <w:rPr>
          <w:iCs/>
          <w:i/>
        </w:rPr>
        <w:t xml:space="preserve">NAFO/FC Doc</w:t>
      </w:r>
      <w:r>
        <w:t xml:space="preserve">,</w:t>
      </w:r>
      <w:r>
        <w:t xml:space="preserve"> </w:t>
      </w:r>
      <w:r>
        <w:rPr>
          <w:iCs/>
          <w:i/>
        </w:rPr>
        <w:t xml:space="preserve">04/18</w:t>
      </w:r>
      <w:r>
        <w:t xml:space="preserve">.</w:t>
      </w:r>
    </w:p>
    <w:bookmarkEnd w:id="32"/>
    <w:bookmarkStart w:id="33"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3"/>
    <w:bookmarkStart w:id="35"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4">
        <w:r>
          <w:rPr>
            <w:rStyle w:val="Hyperlink"/>
          </w:rPr>
          <w:t xml:space="preserve">https://doi.org/10.1371/journal.pone.0232822</w:t>
        </w:r>
      </w:hyperlink>
    </w:p>
    <w:bookmarkEnd w:id="35"/>
    <w:bookmarkStart w:id="36"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6"/>
    <w:bookmarkStart w:id="37"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7"/>
    <w:bookmarkStart w:id="38" w:name="ref-smith1981"/>
    <w:p>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8"/>
    <w:bookmarkStart w:id="39" w:name="ref-thorson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9"/>
    <w:bookmarkEnd w:id="40"/>
    <w:p>
      <w:r>
        <w:br w:type="page"/>
      </w:r>
    </w:p>
    <w:bookmarkEnd w:id="41"/>
    <w:bookmarkStart w:id="45" w:name="figures"/>
    <w:p>
      <w:pPr>
        <w:pStyle w:val="Heading1"/>
      </w:pPr>
      <w:r>
        <w:t xml:space="preserve">Figures</w:t>
      </w:r>
    </w:p>
    <w:p>
      <w:pPr>
        <w:pStyle w:val="CaptionedFigure"/>
      </w:pPr>
      <w:r>
        <w:drawing>
          <wp:inline>
            <wp:extent cx="5943600" cy="6339839"/>
            <wp:effectExtent b="0" l="0" r="0" t="0"/>
            <wp:docPr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42"/>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p>
    <w:p>
      <w:r>
        <w:br w:type="page"/>
      </w:r>
    </w:p>
    <w:p>
      <w:pPr>
        <w:pStyle w:val="CaptionedFigure"/>
      </w:pPr>
      <w:r>
        <w:drawing>
          <wp:inline>
            <wp:extent cx="4153027" cy="4620931"/>
            <wp:effectExtent b="0" l="0" r="0" t="0"/>
            <wp:docPr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title="" id="1" name="Picture"/>
            <a:graphic>
              <a:graphicData uri="http://schemas.openxmlformats.org/drawingml/2006/picture">
                <pic:pic>
                  <pic:nvPicPr>
                    <pic:cNvPr descr="knitr-figs-docx/ref-den-1.png" id="0" name="Picture"/>
                    <pic:cNvPicPr>
                      <a:picLocks noChangeArrowheads="1" noChangeAspect="1"/>
                    </pic:cNvPicPr>
                  </pic:nvPicPr>
                  <pic:blipFill>
                    <a:blip r:embed="rId43"/>
                    <a:stretch>
                      <a:fillRect/>
                    </a:stretch>
                  </pic:blipFill>
                  <pic:spPr bwMode="auto">
                    <a:xfrm>
                      <a:off x="0" y="0"/>
                      <a:ext cx="4153027" cy="4620931"/>
                    </a:xfrm>
                    <a:prstGeom prst="rect">
                      <a:avLst/>
                    </a:prstGeom>
                    <a:noFill/>
                    <a:ln w="9525">
                      <a:noFill/>
                      <a:headEnd/>
                      <a:tailEnd/>
                    </a:ln>
                  </pic:spPr>
                </pic:pic>
              </a:graphicData>
            </a:graphic>
          </wp:inline>
        </w:drawing>
      </w:r>
    </w:p>
    <w:p>
      <w:pPr>
        <w:pStyle w:val="ImageCaption"/>
      </w:pPr>
      <w:r>
        <w:t xml:space="preserve">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p>
      <w:r>
        <w:br w:type="page"/>
      </w:r>
    </w:p>
    <w:p>
      <w:pPr>
        <w:pStyle w:val="CaptionedFigure"/>
      </w:pPr>
      <w:r>
        <w:drawing>
          <wp:inline>
            <wp:extent cx="4153027" cy="4620931"/>
            <wp:effectExtent b="0" l="0" r="0" t="0"/>
            <wp:docPr descr="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 title="" id="1" name="Picture"/>
            <a:graphic>
              <a:graphicData uri="http://schemas.openxmlformats.org/drawingml/2006/picture">
                <pic:pic>
                  <pic:nvPicPr>
                    <pic:cNvPr descr="knitr-figs-docx/red-1.png" id="0" name="Picture"/>
                    <pic:cNvPicPr>
                      <a:picLocks noChangeArrowheads="1" noChangeAspect="1"/>
                    </pic:cNvPicPr>
                  </pic:nvPicPr>
                  <pic:blipFill>
                    <a:blip r:embed="rId44"/>
                    <a:stretch>
                      <a:fillRect/>
                    </a:stretch>
                  </pic:blipFill>
                  <pic:spPr bwMode="auto">
                    <a:xfrm>
                      <a:off x="0" y="0"/>
                      <a:ext cx="4153027" cy="4620931"/>
                    </a:xfrm>
                    <a:prstGeom prst="rect">
                      <a:avLst/>
                    </a:prstGeom>
                    <a:noFill/>
                    <a:ln w="9525">
                      <a:noFill/>
                      <a:headEnd/>
                      <a:tailEnd/>
                    </a:ln>
                  </pic:spPr>
                </pic:pic>
              </a:graphicData>
            </a:graphic>
          </wp:inline>
        </w:drawing>
      </w:r>
    </w:p>
    <w:p>
      <w:pPr>
        <w:pStyle w:val="ImageCaption"/>
      </w:pPr>
      <w:r>
        <w:t xml:space="preserve">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w:t>
      </w:r>
    </w:p>
    <w:p>
      <w:r>
        <w:br w:type="page"/>
      </w:r>
    </w:p>
    <w:bookmarkEnd w:id="45"/>
    <w:bookmarkStart w:id="46" w:name="app:appendix-a"/>
    <w:p>
      <w:pPr>
        <w:pStyle w:val="Heading1"/>
      </w:pPr>
      <w:r>
        <w:t xml:space="preserve">Appendix A</w:t>
      </w:r>
    </w:p>
    <w:p>
      <w:pPr>
        <w:pStyle w:val="FirstParagraph"/>
      </w:pPr>
      <w:r>
        <w:t xml:space="preserve">Simulation results can be replicated using the below code.</w:t>
      </w:r>
    </w:p>
    <w:p>
      <w:pPr>
        <w:pStyle w:val="SourceCode"/>
      </w:pPr>
      <w:r>
        <w:rPr>
          <w:rStyle w:val="FunctionTok"/>
        </w:rPr>
        <w:t xml:space="preserve">library</w:t>
      </w:r>
      <w:r>
        <w:rPr>
          <w:rStyle w:val="NormalTok"/>
        </w:rPr>
        <w:t xml:space="preserve">(SimSurvey)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(NAFOdown)</w:t>
      </w:r>
      <w:r>
        <w:br/>
      </w:r>
      <w:r>
        <w:br/>
      </w:r>
      <w:r>
        <w:rPr>
          <w:rStyle w:val="FunctionTok"/>
        </w:rPr>
        <w:t xml:space="preserve">plan</w:t>
      </w:r>
      <w:r>
        <w:rPr>
          <w:rStyle w:val="NormalTok"/>
        </w:rPr>
        <w:t xml:space="preserve">(multisession, </w:t>
      </w:r>
      <w:r>
        <w:rPr>
          <w:rStyle w:val="AttributeTok"/>
        </w:rPr>
        <w:t xml:space="preserve">workers =</w:t>
      </w:r>
      <w:r>
        <w:rPr>
          <w:rStyle w:val="NormalTok"/>
        </w:rPr>
        <w:t xml:space="preserve"> </w:t>
      </w:r>
      <w:r>
        <w:rPr>
          <w:rStyle w:val="FunctionTok"/>
        </w:rPr>
        <w:t xml:space="preserve">floor</w:t>
      </w:r>
      <w:r>
        <w:rPr>
          <w:rStyle w:val="NormalTok"/>
        </w:rPr>
        <w:t xml:space="preserve">(</w:t>
      </w:r>
      <w:r>
        <w:rPr>
          <w:rStyle w:val="FunctionTok"/>
        </w:rPr>
        <w:t xml:space="preserve">availableCores</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n_sims </w:t>
      </w:r>
      <w:r>
        <w:rPr>
          <w:rStyle w:val="OtherTok"/>
        </w:rPr>
        <w:t xml:space="preserve">&lt;-</w:t>
      </w:r>
      <w:r>
        <w:rPr>
          <w:rStyle w:val="NormalTok"/>
        </w:rPr>
        <w:t xml:space="preserve"> </w:t>
      </w:r>
      <w:r>
        <w:rPr>
          <w:rStyle w:val="DecValTok"/>
        </w:rPr>
        <w:t xml:space="preserve">5</w:t>
      </w:r>
      <w:r>
        <w:br/>
      </w:r>
      <w:r>
        <w:rPr>
          <w:rStyle w:val="NormalTok"/>
        </w:rPr>
        <w:t xml:space="preserve">n_boot </w:t>
      </w:r>
      <w:r>
        <w:rPr>
          <w:rStyle w:val="OtherTok"/>
        </w:rPr>
        <w:t xml:space="preserve">&lt;-</w:t>
      </w:r>
      <w:r>
        <w:rPr>
          <w:rStyle w:val="NormalTok"/>
        </w:rPr>
        <w:t xml:space="preserve"> </w:t>
      </w:r>
      <w:r>
        <w:rPr>
          <w:rStyle w:val="DecValTok"/>
        </w:rPr>
        <w:t xml:space="preserve">1000</w:t>
      </w:r>
      <w:r>
        <w:br/>
      </w:r>
      <w:r>
        <w:br/>
      </w:r>
      <w:r>
        <w:br/>
      </w:r>
      <w:r>
        <w:rPr>
          <w:rStyle w:val="DocumentationTok"/>
        </w:rPr>
        <w:t xml:space="preserve">## Simulation ----------</w:t>
      </w:r>
      <w:r>
        <w:br/>
      </w:r>
      <w:r>
        <w:br/>
      </w:r>
      <w:r>
        <w:rPr>
          <w:rStyle w:val="FunctionTok"/>
        </w:rPr>
        <w:t xml:space="preserve">set.seed</w:t>
      </w:r>
      <w:r>
        <w:rPr>
          <w:rStyle w:val="NormalTok"/>
        </w:rPr>
        <w:t xml:space="preserve">(</w:t>
      </w:r>
      <w:r>
        <w:rPr>
          <w:rStyle w:val="DecValTok"/>
        </w:rPr>
        <w:t xml:space="preserve">794</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sim_abundance</w:t>
      </w:r>
      <w:r>
        <w:rPr>
          <w:rStyle w:val="NormalTok"/>
        </w:rPr>
        <w:t xml:space="preserve">(</w:t>
      </w:r>
      <w:r>
        <w:rPr>
          <w:rStyle w:val="AttributeTok"/>
        </w:rPr>
        <w:t xml:space="preserve">ages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years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sim_R</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DecValTok"/>
        </w:rPr>
        <w:t xml:space="preserve">600000000</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random_walk =</w:t>
      </w:r>
      <w:r>
        <w:rPr>
          <w:rStyle w:val="NormalTok"/>
        </w:rPr>
        <w:t xml:space="preserve"> F),</w:t>
      </w:r>
      <w:r>
        <w:br/>
      </w:r>
      <w:r>
        <w:rPr>
          <w:rStyle w:val="NormalTok"/>
        </w:rPr>
        <w:t xml:space="preserve">                            </w:t>
      </w:r>
      <w:r>
        <w:rPr>
          <w:rStyle w:val="AttributeTok"/>
        </w:rPr>
        <w:t xml:space="preserve">Z =</w:t>
      </w:r>
      <w:r>
        <w:rPr>
          <w:rStyle w:val="NormalTok"/>
        </w:rPr>
        <w:t xml:space="preserve"> </w:t>
      </w:r>
      <w:r>
        <w:rPr>
          <w:rStyle w:val="FunctionTok"/>
        </w:rPr>
        <w:t xml:space="preserve">sim_Z</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N0 =</w:t>
      </w:r>
      <w:r>
        <w:rPr>
          <w:rStyle w:val="NormalTok"/>
        </w:rPr>
        <w:t xml:space="preserve"> </w:t>
      </w:r>
      <w:r>
        <w:rPr>
          <w:rStyle w:val="FunctionTok"/>
        </w:rPr>
        <w:t xml:space="preserve">sim_N0</w:t>
      </w:r>
      <w:r>
        <w:rPr>
          <w:rStyle w:val="NormalTok"/>
        </w:rPr>
        <w:t xml:space="preserve">(</w:t>
      </w:r>
      <w:r>
        <w:rPr>
          <w:rStyle w:val="AttributeTok"/>
        </w:rPr>
        <w:t xml:space="preserve">N0 =</w:t>
      </w:r>
      <w:r>
        <w:rPr>
          <w:rStyle w:val="NormalTok"/>
        </w:rPr>
        <w:t xml:space="preserve"> </w:t>
      </w:r>
      <w:r>
        <w:rPr>
          <w:rStyle w:val="StringTok"/>
        </w:rPr>
        <w:t xml:space="preserve">"exp"</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growth =</w:t>
      </w:r>
      <w:r>
        <w:rPr>
          <w:rStyle w:val="NormalTok"/>
        </w:rPr>
        <w:t xml:space="preserve"> </w:t>
      </w:r>
      <w:r>
        <w:rPr>
          <w:rStyle w:val="FunctionTok"/>
        </w:rPr>
        <w:t xml:space="preserve">sim_vonB</w:t>
      </w:r>
      <w:r>
        <w:rPr>
          <w:rStyle w:val="NormalTok"/>
        </w:rPr>
        <w:t xml:space="preserve">(</w:t>
      </w:r>
      <w:r>
        <w:rPr>
          <w:rStyle w:val="AttributeTok"/>
        </w:rPr>
        <w:t xml:space="preserve">Linf =</w:t>
      </w:r>
      <w:r>
        <w:rPr>
          <w:rStyle w:val="NormalTok"/>
        </w:rPr>
        <w:t xml:space="preserve"> </w:t>
      </w:r>
      <w:r>
        <w:rPr>
          <w:rStyle w:val="DecValTok"/>
        </w:rPr>
        <w:t xml:space="preserve">30</w:t>
      </w:r>
      <w:r>
        <w:rPr>
          <w:rStyle w:val="NormalTok"/>
        </w:rPr>
        <w:t xml:space="preserve">, </w:t>
      </w:r>
      <w:r>
        <w:rPr>
          <w:rStyle w:val="AttributeTok"/>
        </w:rPr>
        <w:t xml:space="preserve">L0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K =</w:t>
      </w:r>
      <w:r>
        <w:rPr>
          <w:rStyle w:val="NormalTok"/>
        </w:rPr>
        <w:t xml:space="preserve"> </w:t>
      </w:r>
      <w:r>
        <w:rPr>
          <w:rStyle w:val="FloatTok"/>
        </w:rPr>
        <w:t xml:space="preserve">0.1</w:t>
      </w:r>
      <w:r>
        <w:rPr>
          <w:rStyle w:val="NormalTok"/>
        </w:rPr>
        <w:t xml:space="preserve">, </w:t>
      </w:r>
      <w:r>
        <w:rPr>
          <w:rStyle w:val="AttributeTok"/>
        </w:rPr>
        <w:t xml:space="preserve">log_sd =</w:t>
      </w:r>
      <w:r>
        <w:rPr>
          <w:rStyle w:val="NormalTok"/>
        </w:rPr>
        <w:t xml:space="preserve"> </w:t>
      </w:r>
      <w:r>
        <w:rPr>
          <w:rStyle w:val="FloatTok"/>
        </w:rPr>
        <w:t xml:space="preserve">0.13</w:t>
      </w:r>
      <w:r>
        <w:rPr>
          <w:rStyle w:val="NormalTok"/>
        </w:rPr>
        <w:t xml:space="preserve">,</w:t>
      </w:r>
      <w:r>
        <w:br/>
      </w:r>
      <w:r>
        <w:rPr>
          <w:rStyle w:val="NormalTok"/>
        </w:rPr>
        <w:t xml:space="preserve">                                              </w:t>
      </w:r>
      <w:r>
        <w:rPr>
          <w:rStyle w:val="AttributeTok"/>
        </w:rPr>
        <w:t xml:space="preserve">length_group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sim_distribution</w:t>
      </w:r>
      <w:r>
        <w:rPr>
          <w:rStyle w:val="NormalTok"/>
        </w:rPr>
        <w:t xml:space="preserve">(</w:t>
      </w:r>
      <w:r>
        <w:rPr>
          <w:rStyle w:val="AttributeTok"/>
        </w:rPr>
        <w:t xml:space="preserve">grid =</w:t>
      </w:r>
      <w:r>
        <w:rPr>
          <w:rStyle w:val="NormalTok"/>
        </w:rPr>
        <w:t xml:space="preserve"> </w:t>
      </w:r>
      <w:r>
        <w:rPr>
          <w:rStyle w:val="FunctionTok"/>
        </w:rPr>
        <w:t xml:space="preserve">make_grid</w:t>
      </w:r>
      <w:r>
        <w:rPr>
          <w:rStyle w:val="NormalTok"/>
        </w:rPr>
        <w:t xml:space="preserve">(</w:t>
      </w:r>
      <w:r>
        <w:rPr>
          <w:rStyle w:val="AttributeTok"/>
        </w:rPr>
        <w:t xml:space="preserve">x_range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shelf_depth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shelf_width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depth_range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w:t>
      </w:r>
      <w:r>
        <w:br/>
      </w:r>
      <w:r>
        <w:rPr>
          <w:rStyle w:val="NormalTok"/>
        </w:rPr>
        <w:t xml:space="preserve">                                    </w:t>
      </w:r>
      <w:r>
        <w:rPr>
          <w:rStyle w:val="AttributeTok"/>
        </w:rPr>
        <w:t xml:space="preserve">n_div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strat_breaks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strat_splits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"bezier"</w:t>
      </w:r>
      <w:r>
        <w:rPr>
          <w:rStyle w:val="NormalTok"/>
        </w:rPr>
        <w:t xml:space="preserve">),</w:t>
      </w:r>
      <w:r>
        <w:br/>
      </w:r>
      <w:r>
        <w:rPr>
          <w:rStyle w:val="NormalTok"/>
        </w:rPr>
        <w:t xml:space="preserve">                   </w:t>
      </w:r>
      <w:r>
        <w:rPr>
          <w:rStyle w:val="AttributeTok"/>
        </w:rPr>
        <w:t xml:space="preserve">ays_covar =</w:t>
      </w:r>
      <w:r>
        <w:rPr>
          <w:rStyle w:val="NormalTok"/>
        </w:rPr>
        <w:t xml:space="preserve"> </w:t>
      </w:r>
      <w:r>
        <w:rPr>
          <w:rStyle w:val="FunctionTok"/>
        </w:rPr>
        <w:t xml:space="preserve">sim_ays_covar</w:t>
      </w:r>
      <w:r>
        <w:rPr>
          <w:rStyle w:val="NormalTok"/>
        </w:rPr>
        <w:t xml:space="preserve">(</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depth_par =</w:t>
      </w:r>
      <w:r>
        <w:rPr>
          <w:rStyle w:val="NormalTok"/>
        </w:rPr>
        <w:t xml:space="preserve"> </w:t>
      </w:r>
      <w:r>
        <w:rPr>
          <w:rStyle w:val="FunctionTok"/>
        </w:rPr>
        <w:t xml:space="preserve">sim_parabola</w:t>
      </w:r>
      <w:r>
        <w:rPr>
          <w:rStyle w:val="NormalTok"/>
        </w:rPr>
        <w:t xml:space="preserve">(</w:t>
      </w:r>
      <w:r>
        <w:rPr>
          <w:rStyle w:val="AttributeTok"/>
        </w:rPr>
        <w:t xml:space="preserve">mu =</w:t>
      </w:r>
      <w:r>
        <w:rPr>
          <w:rStyle w:val="NormalTok"/>
        </w:rPr>
        <w:t xml:space="preserve"> </w:t>
      </w:r>
      <w:r>
        <w:rPr>
          <w:rStyle w:val="FunctionTok"/>
        </w:rPr>
        <w:t xml:space="preserve">log</w:t>
      </w:r>
      <w:r>
        <w:rPr>
          <w:rStyle w:val="NormalTok"/>
        </w:rPr>
        <w:t xml:space="preserve">(</w:t>
      </w:r>
      <w:r>
        <w:rPr>
          <w:rStyle w:val="DecValTok"/>
        </w:rPr>
        <w:t xml:space="preserve">190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log_space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survey </w:t>
      </w:r>
      <w:r>
        <w:rPr>
          <w:rStyle w:val="OtherTok"/>
        </w:rPr>
        <w:t xml:space="preserve">&lt;-</w:t>
      </w:r>
      <w:r>
        <w:rPr>
          <w:rStyle w:val="NormalTok"/>
        </w:rPr>
        <w:t xml:space="preserve"> </w:t>
      </w:r>
      <w:r>
        <w:rPr>
          <w:rStyle w:val="FunctionTok"/>
        </w:rPr>
        <w:t xml:space="preserve">sim_survey</w:t>
      </w:r>
      <w:r>
        <w:rPr>
          <w:rStyle w:val="NormalTok"/>
        </w:rPr>
        <w:t xml:space="preserve">(population,</w:t>
      </w:r>
      <w:r>
        <w:br/>
      </w:r>
      <w:r>
        <w:rPr>
          <w:rStyle w:val="NormalTok"/>
        </w:rPr>
        <w:t xml:space="preserve">                     </w:t>
      </w:r>
      <w:r>
        <w:rPr>
          <w:rStyle w:val="AttributeTok"/>
        </w:rPr>
        <w:t xml:space="preserve">n_sims =</w:t>
      </w:r>
      <w:r>
        <w:rPr>
          <w:rStyle w:val="NormalTok"/>
        </w:rPr>
        <w:t xml:space="preserve"> n_sims,</w:t>
      </w:r>
      <w:r>
        <w:br/>
      </w:r>
      <w:r>
        <w:rPr>
          <w:rStyle w:val="NormalTok"/>
        </w:rPr>
        <w:t xml:space="preserve">                     </w:t>
      </w:r>
      <w:r>
        <w:rPr>
          <w:rStyle w:val="AttributeTok"/>
        </w:rPr>
        <w:t xml:space="preserve">q =</w:t>
      </w:r>
      <w:r>
        <w:rPr>
          <w:rStyle w:val="NormalTok"/>
        </w:rPr>
        <w:t xml:space="preserve"> </w:t>
      </w:r>
      <w:r>
        <w:rPr>
          <w:rStyle w:val="FunctionTok"/>
        </w:rPr>
        <w:t xml:space="preserve">sim_logistic</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x0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trawl_dim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resample_cells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binom_error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set_den =</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lengths_cap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ages_cap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age_sampling =</w:t>
      </w:r>
      <w:r>
        <w:rPr>
          <w:rStyle w:val="NormalTok"/>
        </w:rPr>
        <w:t xml:space="preserve"> </w:t>
      </w:r>
      <w:r>
        <w:rPr>
          <w:rStyle w:val="StringTok"/>
        </w:rPr>
        <w:t xml:space="preserve">"stratified"</w:t>
      </w:r>
      <w:r>
        <w:rPr>
          <w:rStyle w:val="NormalTok"/>
        </w:rPr>
        <w:t xml:space="preserve">,</w:t>
      </w:r>
      <w:r>
        <w:br/>
      </w:r>
      <w:r>
        <w:rPr>
          <w:rStyle w:val="NormalTok"/>
        </w:rPr>
        <w:t xml:space="preserve">                     </w:t>
      </w:r>
      <w:r>
        <w:rPr>
          <w:rStyle w:val="AttributeTok"/>
        </w:rPr>
        <w:t xml:space="preserve">age_length_group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age_space_group =</w:t>
      </w:r>
      <w:r>
        <w:rPr>
          <w:rStyle w:val="NormalTok"/>
        </w:rPr>
        <w:t xml:space="preserve"> </w:t>
      </w:r>
      <w:r>
        <w:rPr>
          <w:rStyle w:val="StringTok"/>
        </w:rPr>
        <w:t xml:space="preserve">"division"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run_strat</w:t>
      </w:r>
      <w:r>
        <w:rPr>
          <w:rStyle w:val="NormalTok"/>
        </w:rPr>
        <w:t xml:space="preserve">()</w:t>
      </w:r>
      <w:r>
        <w:br/>
      </w:r>
      <w:r>
        <w:br/>
      </w:r>
      <w:r>
        <w:br/>
      </w:r>
      <w:r>
        <w:rPr>
          <w:rStyle w:val="DocumentationTok"/>
        </w:rPr>
        <w:t xml:space="preserve">## Density from the Gamma distribution ----------</w:t>
      </w:r>
      <w:r>
        <w:br/>
      </w:r>
      <w:r>
        <w:br/>
      </w:r>
      <w:r>
        <w:rPr>
          <w:rStyle w:val="NormalTok"/>
        </w:rPr>
        <w:t xml:space="preserve">total_strat </w:t>
      </w:r>
      <w:r>
        <w:rPr>
          <w:rStyle w:val="OtherTok"/>
        </w:rPr>
        <w:t xml:space="preserve">&lt;-</w:t>
      </w:r>
      <w:r>
        <w:rPr>
          <w:rStyle w:val="NormalTok"/>
        </w:rPr>
        <w:t xml:space="preserve"> survey</w:t>
      </w:r>
      <w:r>
        <w:rPr>
          <w:rStyle w:val="SpecialCharTok"/>
        </w:rPr>
        <w:t xml:space="preserve">$</w:t>
      </w:r>
      <w:r>
        <w:rPr>
          <w:rStyle w:val="NormalTok"/>
        </w:rPr>
        <w:t xml:space="preserve">total_strat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sigma =</w:t>
      </w:r>
      <w:r>
        <w:rPr>
          <w:rStyle w:val="NormalTok"/>
        </w:rPr>
        <w:t xml:space="preserve"> sampling_units </w:t>
      </w:r>
      <w:r>
        <w:rPr>
          <w:rStyle w:val="SpecialCharTok"/>
        </w:rPr>
        <w:t xml:space="preserve">*</w:t>
      </w:r>
      <w:r>
        <w:rPr>
          <w:rStyle w:val="NormalTok"/>
        </w:rPr>
        <w:t xml:space="preserve"> sd,</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Use gamma to generate density by sim and year</w:t>
      </w:r>
      <w:r>
        <w:br/>
      </w:r>
      <w:r>
        <w:rPr>
          <w:rStyle w:val="NormalTok"/>
        </w:rPr>
        <w:t xml:space="preserve">rng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unctionTok"/>
        </w:rPr>
        <w:t xml:space="preserve">max</w:t>
      </w:r>
      <w:r>
        <w:rPr>
          <w:rStyle w:val="NormalTok"/>
        </w:rPr>
        <w:t xml:space="preserve">(total_strat</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(rng[</w:t>
      </w:r>
      <w:r>
        <w:rPr>
          <w:rStyle w:val="DecValTok"/>
        </w:rPr>
        <w:t xml:space="preserve">1</w:t>
      </w:r>
      <w:r>
        <w:rPr>
          <w:rStyle w:val="NormalTok"/>
        </w:rPr>
        <w:t xml:space="preserve">], rng[</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total_strat_den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seq.int</w:t>
      </w:r>
      <w:r>
        <w:rPr>
          <w:rStyle w:val="NormalTok"/>
        </w:rPr>
        <w:t xml:space="preserve">(</w:t>
      </w:r>
      <w:r>
        <w:rPr>
          <w:rStyle w:val="FunctionTok"/>
        </w:rPr>
        <w:t xml:space="preserve">nrow</w:t>
      </w:r>
      <w:r>
        <w:rPr>
          <w:rStyle w:val="NormalTok"/>
        </w:rPr>
        <w:t xml:space="preserve">(total_strat)), </w:t>
      </w:r>
      <w:r>
        <w:br/>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data.frame</w:t>
      </w:r>
      <w:r>
        <w:rPr>
          <w:rStyle w:val="NormalTok"/>
        </w:rPr>
        <w:t xml:space="preserve">(</w:t>
      </w:r>
      <w:r>
        <w:rPr>
          <w:rStyle w:val="AttributeTok"/>
        </w:rPr>
        <w:t xml:space="preserve">sim =</w:t>
      </w:r>
      <w:r>
        <w:rPr>
          <w:rStyle w:val="NormalTok"/>
        </w:rPr>
        <w:t xml:space="preserve"> total_strat</w:t>
      </w:r>
      <w:r>
        <w:rPr>
          <w:rStyle w:val="SpecialCharTok"/>
        </w:rPr>
        <w:t xml:space="preserve">$</w:t>
      </w:r>
      <w:r>
        <w:rPr>
          <w:rStyle w:val="NormalTok"/>
        </w:rPr>
        <w:t xml:space="preserve">sim[i],</w:t>
      </w:r>
      <w:r>
        <w:br/>
      </w:r>
      <w:r>
        <w:rPr>
          <w:rStyle w:val="NormalTok"/>
        </w:rPr>
        <w:t xml:space="preserve">             </w:t>
      </w:r>
      <w:r>
        <w:rPr>
          <w:rStyle w:val="AttributeTok"/>
        </w:rPr>
        <w:t xml:space="preserve">year =</w:t>
      </w:r>
      <w:r>
        <w:rPr>
          <w:rStyle w:val="NormalTok"/>
        </w:rPr>
        <w:t xml:space="preserve"> total_strat</w:t>
      </w:r>
      <w:r>
        <w:rPr>
          <w:rStyle w:val="SpecialCharTok"/>
        </w:rPr>
        <w:t xml:space="preserve">$</w:t>
      </w:r>
      <w:r>
        <w:rPr>
          <w:rStyle w:val="NormalTok"/>
        </w:rPr>
        <w:t xml:space="preserve">year[i],</w:t>
      </w:r>
      <w:r>
        <w:br/>
      </w:r>
      <w:r>
        <w:rPr>
          <w:rStyle w:val="NormalTok"/>
        </w:rPr>
        <w:t xml:space="preserve">             </w:t>
      </w:r>
      <w:r>
        <w:rPr>
          <w:rStyle w:val="AttributeTok"/>
        </w:rPr>
        <w:t xml:space="preserve">total =</w:t>
      </w:r>
      <w:r>
        <w:rPr>
          <w:rStyle w:val="NormalTok"/>
        </w:rPr>
        <w:t xml:space="preserve"> x,</w:t>
      </w:r>
      <w:r>
        <w:br/>
      </w:r>
      <w:r>
        <w:rPr>
          <w:rStyle w:val="NormalTok"/>
        </w:rPr>
        <w:t xml:space="preserve">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total_strat</w:t>
      </w:r>
      <w:r>
        <w:rPr>
          <w:rStyle w:val="SpecialCharTok"/>
        </w:rPr>
        <w:t xml:space="preserve">$</w:t>
      </w:r>
      <w:r>
        <w:rPr>
          <w:rStyle w:val="NormalTok"/>
        </w:rPr>
        <w:t xml:space="preserve">shape[i],</w:t>
      </w:r>
      <w:r>
        <w:br/>
      </w:r>
      <w:r>
        <w:rPr>
          <w:rStyle w:val="NormalTok"/>
        </w:rPr>
        <w:t xml:space="preserve">                          </w:t>
      </w:r>
      <w:r>
        <w:rPr>
          <w:rStyle w:val="AttributeTok"/>
        </w:rPr>
        <w:t xml:space="preserve">scale =</w:t>
      </w:r>
      <w:r>
        <w:rPr>
          <w:rStyle w:val="NormalTok"/>
        </w:rPr>
        <w:t xml:space="preserve"> total_strat</w:t>
      </w:r>
      <w:r>
        <w:rPr>
          <w:rStyle w:val="SpecialCharTok"/>
        </w:rPr>
        <w:t xml:space="preserve">$</w:t>
      </w:r>
      <w:r>
        <w:rPr>
          <w:rStyle w:val="NormalTok"/>
        </w:rPr>
        <w:t xml:space="preserve">scale[i]))</w:t>
      </w:r>
      <w:r>
        <w:br/>
      </w:r>
      <w:r>
        <w:rPr>
          <w:rStyle w:val="NormalTok"/>
        </w:rPr>
        <w:t xml:space="preserve">})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br/>
      </w:r>
      <w:r>
        <w:br/>
      </w:r>
      <w:r>
        <w:rPr>
          <w:rStyle w:val="DocumentationTok"/>
        </w:rPr>
        <w:t xml:space="preserve">### Density from bootstrapping ----------</w:t>
      </w:r>
      <w:r>
        <w:br/>
      </w:r>
      <w:r>
        <w:br/>
      </w:r>
      <w:r>
        <w:rPr>
          <w:rStyle w:val="NormalTok"/>
        </w:rPr>
        <w:t xml:space="preserve">setdet </w:t>
      </w:r>
      <w:r>
        <w:rPr>
          <w:rStyle w:val="OtherTok"/>
        </w:rPr>
        <w:t xml:space="preserve">&lt;-</w:t>
      </w:r>
      <w:r>
        <w:rPr>
          <w:rStyle w:val="NormalTok"/>
        </w:rPr>
        <w:t xml:space="preserve"> survey</w:t>
      </w:r>
      <w:r>
        <w:rPr>
          <w:rStyle w:val="SpecialCharTok"/>
        </w:rPr>
        <w:t xml:space="preserve">$</w:t>
      </w:r>
      <w:r>
        <w:rPr>
          <w:rStyle w:val="NormalTok"/>
        </w:rPr>
        <w:t xml:space="preserve">setdet</w:t>
      </w:r>
      <w:r>
        <w:br/>
      </w:r>
      <w:r>
        <w:br/>
      </w:r>
      <w:r>
        <w:rPr>
          <w:rStyle w:val="NormalTok"/>
        </w:rPr>
        <w:t xml:space="preserve">split_setdet </w:t>
      </w:r>
      <w:r>
        <w:rPr>
          <w:rStyle w:val="OtherTok"/>
        </w:rPr>
        <w:t xml:space="preserve">&lt;-</w:t>
      </w:r>
      <w:r>
        <w:rPr>
          <w:rStyle w:val="NormalTok"/>
        </w:rPr>
        <w:t xml:space="preserve"> </w:t>
      </w:r>
      <w:r>
        <w:rPr>
          <w:rStyle w:val="FunctionTok"/>
        </w:rPr>
        <w:t xml:space="preserve">split</w:t>
      </w:r>
      <w:r>
        <w:rPr>
          <w:rStyle w:val="NormalTok"/>
        </w:rPr>
        <w:t xml:space="preserve">(setdet, </w:t>
      </w:r>
      <w:r>
        <w:rPr>
          <w:rStyle w:val="FunctionTok"/>
        </w:rPr>
        <w:t xml:space="preserve">paste0</w:t>
      </w:r>
      <w:r>
        <w:rPr>
          <w:rStyle w:val="NormalTok"/>
        </w:rPr>
        <w:t xml:space="preserve">(setdet</w:t>
      </w:r>
      <w:r>
        <w:rPr>
          <w:rStyle w:val="SpecialCharTok"/>
        </w:rPr>
        <w:t xml:space="preserve">$</w:t>
      </w:r>
      <w:r>
        <w:rPr>
          <w:rStyle w:val="NormalTok"/>
        </w:rPr>
        <w:t xml:space="preserve">year, </w:t>
      </w:r>
      <w:r>
        <w:rPr>
          <w:rStyle w:val="StringTok"/>
        </w:rPr>
        <w:t xml:space="preserve">"-"</w:t>
      </w:r>
      <w:r>
        <w:rPr>
          <w:rStyle w:val="NormalTok"/>
        </w:rPr>
        <w:t xml:space="preserve">, setdet</w:t>
      </w:r>
      <w:r>
        <w:rPr>
          <w:rStyle w:val="SpecialCharTok"/>
        </w:rPr>
        <w:t xml:space="preserve">$</w:t>
      </w:r>
      <w:r>
        <w:rPr>
          <w:rStyle w:val="NormalTok"/>
        </w:rPr>
        <w:t xml:space="preserve">sim))</w:t>
      </w:r>
      <w:r>
        <w:br/>
      </w:r>
      <w:r>
        <w:br/>
      </w:r>
      <w:r>
        <w:rPr>
          <w:rStyle w:val="NormalTok"/>
        </w:rPr>
        <w:t xml:space="preserve">sumYst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i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(data))) {</w:t>
      </w:r>
      <w:r>
        <w:br/>
      </w:r>
      <w:r>
        <w:rPr>
          <w:rStyle w:val="NormalTok"/>
        </w:rPr>
        <w:t xml:space="preserve">  data[i, ] </w:t>
      </w:r>
      <w:r>
        <w:rPr>
          <w:rStyle w:val="SpecialCharTok"/>
        </w:rPr>
        <w:t xml:space="preserve">|</w:t>
      </w:r>
      <w:r>
        <w:rPr>
          <w:rStyle w:val="ErrorTok"/>
        </w:rPr>
        <w:t xml:space="preserve">&gt;</w:t>
      </w:r>
      <w:r>
        <w:br/>
      </w:r>
      <w:r>
        <w:rPr>
          <w:rStyle w:val="NormalTok"/>
        </w:rPr>
        <w:t xml:space="preserve">    </w:t>
      </w:r>
      <w:r>
        <w:rPr>
          <w:rStyle w:val="DocumentationTok"/>
        </w:rPr>
        <w:t xml:space="preserve">### stratum level</w:t>
      </w:r>
      <w:r>
        <w:br/>
      </w:r>
      <w:r>
        <w:rPr>
          <w:rStyle w:val="NormalTok"/>
        </w:rPr>
        <w:t xml:space="preserve">    </w:t>
      </w:r>
      <w:r>
        <w:rPr>
          <w:rStyle w:val="FunctionTok"/>
        </w:rPr>
        <w:t xml:space="preserve">group_by</w:t>
      </w:r>
      <w:r>
        <w:rPr>
          <w:rStyle w:val="NormalTok"/>
        </w:rPr>
        <w:t xml:space="preserve">(year, strat, strat_area)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meanYh =</w:t>
      </w:r>
      <w:r>
        <w:rPr>
          <w:rStyle w:val="NormalTok"/>
        </w:rPr>
        <w:t xml:space="preserve"> </w:t>
      </w:r>
      <w:r>
        <w:rPr>
          <w:rStyle w:val="FunctionTok"/>
        </w:rPr>
        <w:t xml:space="preserve">mean</w:t>
      </w:r>
      <w:r>
        <w:rPr>
          <w:rStyle w:val="NormalTok"/>
        </w:rPr>
        <w:t xml:space="preserve">(n), </w:t>
      </w:r>
      <w:r>
        <w:rPr>
          <w:rStyle w:val="AttributeTok"/>
        </w:rPr>
        <w:t xml:space="preserve">tow_area =</w:t>
      </w:r>
      <w:r>
        <w:rPr>
          <w:rStyle w:val="NormalTok"/>
        </w:rPr>
        <w:t xml:space="preserve"> </w:t>
      </w:r>
      <w:r>
        <w:rPr>
          <w:rStyle w:val="FunctionTok"/>
        </w:rPr>
        <w:t xml:space="preserve">mean</w:t>
      </w:r>
      <w:r>
        <w:rPr>
          <w:rStyle w:val="NormalTok"/>
        </w:rPr>
        <w:t xml:space="preserve">(tow_area), </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Nh =</w:t>
      </w:r>
      <w:r>
        <w:rPr>
          <w:rStyle w:val="NormalTok"/>
        </w:rPr>
        <w:t xml:space="preserve"> strat_area</w:t>
      </w:r>
      <w:r>
        <w:rPr>
          <w:rStyle w:val="SpecialCharTok"/>
        </w:rPr>
        <w:t xml:space="preserve">/</w:t>
      </w:r>
      <w:r>
        <w:rPr>
          <w:rStyle w:val="NormalTok"/>
        </w:rPr>
        <w:t xml:space="preserve">(tow_area))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(Nh), </w:t>
      </w:r>
      <w:r>
        <w:rPr>
          <w:rStyle w:val="AttributeTok"/>
        </w:rPr>
        <w:t xml:space="preserve">Wh =</w:t>
      </w:r>
      <w:r>
        <w:rPr>
          <w:rStyle w:val="NormalTok"/>
        </w:rPr>
        <w:t xml:space="preserve"> Nh</w:t>
      </w:r>
      <w:r>
        <w:rPr>
          <w:rStyle w:val="SpecialCharTok"/>
        </w:rPr>
        <w:t xml:space="preserve">/</w:t>
      </w:r>
      <w:r>
        <w:rPr>
          <w:rStyle w:val="NormalTok"/>
        </w:rPr>
        <w:t xml:space="preserve">N, </w:t>
      </w:r>
      <w:r>
        <w:rPr>
          <w:rStyle w:val="AttributeTok"/>
        </w:rPr>
        <w:t xml:space="preserve">WhmeanYh =</w:t>
      </w:r>
      <w:r>
        <w:rPr>
          <w:rStyle w:val="NormalTok"/>
        </w:rPr>
        <w:t xml:space="preserve"> Wh </w:t>
      </w:r>
      <w:r>
        <w:rPr>
          <w:rStyle w:val="SpecialCharTok"/>
        </w:rPr>
        <w:t xml:space="preserve">*</w:t>
      </w:r>
      <w:r>
        <w:rPr>
          <w:rStyle w:val="NormalTok"/>
        </w:rPr>
        <w:t xml:space="preserve"> meanYh)</w:t>
      </w:r>
      <w:r>
        <w:rPr>
          <w:rStyle w:val="SpecialCharTok"/>
        </w:rPr>
        <w:t xml:space="preserve">|</w:t>
      </w:r>
      <w:r>
        <w:rPr>
          <w:rStyle w:val="ErrorTok"/>
        </w:rPr>
        <w:t xml:space="preserve">&gt;</w:t>
      </w:r>
      <w:r>
        <w:br/>
      </w:r>
      <w:r>
        <w:rPr>
          <w:rStyle w:val="NormalTok"/>
        </w:rPr>
        <w:t xml:space="preserve">    </w:t>
      </w:r>
      <w:r>
        <w:rPr>
          <w:rStyle w:val="DocumentationTok"/>
        </w:rPr>
        <w:t xml:space="preserve">### year level</w:t>
      </w:r>
      <w:r>
        <w:br/>
      </w:r>
      <w:r>
        <w:rPr>
          <w:rStyle w:val="NormalTok"/>
        </w:rPr>
        <w:t xml:space="preserve">    </w:t>
      </w:r>
      <w:r>
        <w:rPr>
          <w:rStyle w:val="FunctionTok"/>
        </w:rPr>
        <w:t xml:space="preserve">summarise</w:t>
      </w:r>
      <w:r>
        <w:rPr>
          <w:rStyle w:val="NormalTok"/>
        </w:rPr>
        <w:t xml:space="preserve">(</w:t>
      </w:r>
      <w:r>
        <w:rPr>
          <w:rStyle w:val="AttributeTok"/>
        </w:rPr>
        <w:t xml:space="preserve">sumYst=</w:t>
      </w:r>
      <w:r>
        <w:rPr>
          <w:rStyle w:val="NormalTok"/>
        </w:rPr>
        <w:t xml:space="preserve"> </w:t>
      </w:r>
      <w:r>
        <w:rPr>
          <w:rStyle w:val="FunctionTok"/>
        </w:rPr>
        <w:t xml:space="preserve">mean</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(WhmeanYh), </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(sumYst)</w:t>
      </w:r>
      <w:r>
        <w:br/>
      </w:r>
      <w:r>
        <w:rPr>
          <w:rStyle w:val="NormalTok"/>
        </w:rPr>
        <w:t xml:space="preserve">}</w:t>
      </w:r>
      <w:r>
        <w:br/>
      </w:r>
      <w:r>
        <w:br/>
      </w:r>
      <w:r>
        <w:rPr>
          <w:rStyle w:val="NormalTok"/>
        </w:rPr>
        <w:t xml:space="preserve">boot_one_year </w:t>
      </w:r>
      <w:r>
        <w:rPr>
          <w:rStyle w:val="OtherTok"/>
        </w:rPr>
        <w:t xml:space="preserve">&lt;-</w:t>
      </w:r>
      <w:r>
        <w:rPr>
          <w:rStyle w:val="NormalTok"/>
        </w:rPr>
        <w:t xml:space="preserve"> </w:t>
      </w:r>
      <w:r>
        <w:rPr>
          <w:rStyle w:val="ControlFlowTok"/>
        </w:rPr>
        <w:t xml:space="preserve">function</w:t>
      </w:r>
      <w:r>
        <w:rPr>
          <w:rStyle w:val="NormalTok"/>
        </w:rPr>
        <w:t xml:space="preserve">(data, reps)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br/>
      </w:r>
      <w:r>
        <w:rPr>
          <w:rStyle w:val="NormalTok"/>
        </w:rPr>
        <w:t xml:space="preserve">                  </w:t>
      </w:r>
      <w:r>
        <w:rPr>
          <w:rStyle w:val="AttributeTok"/>
        </w:rPr>
        <w:t xml:space="preserve">strata =</w:t>
      </w:r>
      <w:r>
        <w:rPr>
          <w:rStyle w:val="NormalTok"/>
        </w:rPr>
        <w:t xml:space="preserve"> data</w:t>
      </w:r>
      <w:r>
        <w:rPr>
          <w:rStyle w:val="SpecialCharTok"/>
        </w:rPr>
        <w:t xml:space="preserve">$</w:t>
      </w:r>
      <w:r>
        <w:rPr>
          <w:rStyle w:val="NormalTok"/>
        </w:rPr>
        <w:t xml:space="preserve">strat, </w:t>
      </w:r>
      <w:r>
        <w:rPr>
          <w:rStyle w:val="AttributeTok"/>
        </w:rPr>
        <w:t xml:space="preserve">R =</w:t>
      </w:r>
      <w:r>
        <w:rPr>
          <w:rStyle w:val="NormalTok"/>
        </w:rPr>
        <w:t xml:space="preserve"> reps)</w:t>
      </w:r>
      <w:r>
        <w:br/>
      </w:r>
      <w:r>
        <w:rPr>
          <w:rStyle w:val="NormalTok"/>
        </w:rPr>
        <w:t xml:space="preserve">  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 </w:t>
      </w:r>
      <w:r>
        <w:rPr>
          <w:rStyle w:val="AttributeTok"/>
        </w:rPr>
        <w:t xml:space="preserve">year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FunctionTok"/>
        </w:rPr>
        <w:t xml:space="preserve">return</w:t>
      </w:r>
      <w:r>
        <w:rPr>
          <w:rStyle w:val="NormalTok"/>
        </w:rPr>
        <w:t xml:space="preserve">(boot)</w:t>
      </w:r>
      <w:r>
        <w:br/>
      </w:r>
      <w:r>
        <w:rPr>
          <w:rStyle w:val="NormalTok"/>
        </w:rPr>
        <w:t xml:space="preserve">}</w:t>
      </w:r>
      <w:r>
        <w:br/>
      </w:r>
      <w:r>
        <w:br/>
      </w:r>
      <w:r>
        <w:rPr>
          <w:rStyle w:val="FunctionTok"/>
        </w:rPr>
        <w:t xml:space="preserve">tic</w:t>
      </w:r>
      <w:r>
        <w:rPr>
          <w:rStyle w:val="NormalTok"/>
        </w:rPr>
        <w:t xml:space="preserve">()</w:t>
      </w:r>
      <w:r>
        <w:br/>
      </w:r>
      <w:r>
        <w:rPr>
          <w:rStyle w:val="NormalTok"/>
        </w:rPr>
        <w:t xml:space="preserve">boot_index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(split_setdet, boot_one_year, </w:t>
      </w:r>
      <w:r>
        <w:br/>
      </w:r>
      <w:r>
        <w:rPr>
          <w:rStyle w:val="NormalTok"/>
        </w:rPr>
        <w:t xml:space="preserve">                                    </w:t>
      </w:r>
      <w:r>
        <w:rPr>
          <w:rStyle w:val="AttributeTok"/>
        </w:rPr>
        <w:t xml:space="preserve">reps =</w:t>
      </w:r>
      <w:r>
        <w:rPr>
          <w:rStyle w:val="NormalTok"/>
        </w:rPr>
        <w:t xml:space="preserve"> n_boot,</w:t>
      </w:r>
      <w:r>
        <w:br/>
      </w:r>
      <w:r>
        <w:rPr>
          <w:rStyle w:val="NormalTok"/>
        </w:rPr>
        <w:t xml:space="preserve">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rPr>
          <w:rStyle w:val="FunctionTok"/>
        </w:rPr>
        <w:t xml:space="preserve">toc</w:t>
      </w:r>
      <w:r>
        <w:rPr>
          <w:rStyle w:val="NormalTok"/>
        </w:rPr>
        <w:t xml:space="preserve">()</w:t>
      </w:r>
      <w:r>
        <w:br/>
      </w:r>
      <w:r>
        <w:br/>
      </w:r>
      <w:r>
        <w:rPr>
          <w:rStyle w:val="FunctionTok"/>
        </w:rPr>
        <w:t xml:space="preserve">quantile</w:t>
      </w:r>
      <w:r>
        <w:rPr>
          <w:rStyle w:val="NormalTok"/>
        </w:rPr>
        <w:t xml:space="preserve">(boot_index</w:t>
      </w:r>
      <w:r>
        <w:rPr>
          <w:rStyle w:val="SpecialCharTok"/>
        </w:rPr>
        <w:t xml:space="preserv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den_plot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FunctionTok"/>
        </w:rPr>
        <w:t xml:space="preserve">as.numeric</w:t>
      </w:r>
      <w:r>
        <w:rPr>
          <w:rStyle w:val="NormalTok"/>
        </w:rPr>
        <w:t xml:space="preserve">(year), </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boot_index,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year, </w:t>
      </w:r>
      <w:r>
        <w:rPr>
          <w:rStyle w:val="AttributeTok"/>
        </w:rPr>
        <w:t xml:space="preserve">height =</w:t>
      </w:r>
      <w:r>
        <w:rPr>
          <w:rStyle w:val="NormalTok"/>
        </w:rPr>
        <w:t xml:space="preserve"> den, </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total_strat_den, </w:t>
      </w:r>
      <w:r>
        <w:rPr>
          <w:rStyle w:val="AttributeTok"/>
        </w:rPr>
        <w:t xml:space="preserve">scale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194587641</w:t>
      </w:r>
      <w:r>
        <w:rPr>
          <w:rStyle w:val="NormalTok"/>
        </w:rPr>
        <w:t xml:space="preserve">, </w:t>
      </w:r>
      <w:r>
        <w:rPr>
          <w:rStyle w:val="DecValTok"/>
        </w:rPr>
        <w:t xml:space="preserve">5116017391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StringTok"/>
        </w:rPr>
        <w:t xml:space="preserve">"sim"</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w:t>
      </w:r>
      <w:r>
        <w:br/>
      </w:r>
      <w:r>
        <w:br/>
      </w:r>
      <w:r>
        <w:br/>
      </w:r>
      <w:r>
        <w:rPr>
          <w:rStyle w:val="DocumentationTok"/>
        </w:rPr>
        <w:t xml:space="preserve">## Relative status ----------</w:t>
      </w:r>
      <w:r>
        <w:br/>
      </w:r>
      <w:r>
        <w:br/>
      </w:r>
      <w:r>
        <w:br/>
      </w:r>
      <w:r>
        <w:rPr>
          <w:rStyle w:val="NormalTok"/>
        </w:rPr>
        <w:t xml:space="preserve">sub_total_strat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ref_est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9</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sigma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NormalTok"/>
        </w:rPr>
        <w:t xml:space="preserve">ref_boot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9</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(ref_boot), </w:t>
      </w:r>
      <w:r>
        <w:rPr>
          <w:rStyle w:val="FunctionTok"/>
        </w:rPr>
        <w:t xml:space="preserve">max</w:t>
      </w:r>
      <w:r>
        <w:rPr>
          <w:rStyle w:val="NormalTok"/>
        </w:rPr>
        <w:t xml:space="preserve">(ref_boot),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ref_den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total =</w:t>
      </w:r>
      <w:r>
        <w:rPr>
          <w:rStyle w:val="NormalTok"/>
        </w:rPr>
        <w:t xml:space="preserve"> x,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ref_est</w:t>
      </w:r>
      <w:r>
        <w:rPr>
          <w:rStyle w:val="SpecialCharTok"/>
        </w:rPr>
        <w:t xml:space="preserve">$</w:t>
      </w:r>
      <w:r>
        <w:rPr>
          <w:rStyle w:val="NormalTok"/>
        </w:rPr>
        <w:t xml:space="preserve">shape, </w:t>
      </w:r>
      <w:r>
        <w:br/>
      </w:r>
      <w:r>
        <w:rPr>
          <w:rStyle w:val="NormalTok"/>
        </w:rPr>
        <w:t xml:space="preserve">                                              </w:t>
      </w:r>
      <w:r>
        <w:rPr>
          <w:rStyle w:val="AttributeTok"/>
        </w:rPr>
        <w:t xml:space="preserve">scale =</w:t>
      </w:r>
      <w:r>
        <w:rPr>
          <w:rStyle w:val="NormalTok"/>
        </w:rPr>
        <w:t xml:space="preserve"> ref_est</w:t>
      </w:r>
      <w:r>
        <w:rPr>
          <w:rStyle w:val="SpecialCharTok"/>
        </w:rPr>
        <w:t xml:space="preserve">$</w:t>
      </w:r>
      <w:r>
        <w:rPr>
          <w:rStyle w:val="NormalTok"/>
        </w:rPr>
        <w:t xml:space="preserve">scale))</w:t>
      </w:r>
      <w:r>
        <w:br/>
      </w:r>
      <w:r>
        <w:br/>
      </w:r>
      <w:r>
        <w:rPr>
          <w:rStyle w:val="NormalTok"/>
        </w:rPr>
        <w:t xml:space="preserve">t_est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t_den </w:t>
      </w:r>
      <w:r>
        <w:rPr>
          <w:rStyle w:val="OtherTok"/>
        </w:rPr>
        <w:t xml:space="preserve">&lt;-</w:t>
      </w:r>
      <w:r>
        <w:rPr>
          <w:rStyle w:val="NormalTok"/>
        </w:rPr>
        <w:t xml:space="preserve"> total_strat_den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boot_prob </w:t>
      </w:r>
      <w:r>
        <w:rPr>
          <w:rStyle w:val="OtherTok"/>
        </w:rPr>
        <w:t xml:space="preserve">&lt;-</w:t>
      </w:r>
      <w:r>
        <w:rPr>
          <w:rStyle w:val="NormalTok"/>
        </w:rPr>
        <w:t xml:space="preserve"> </w:t>
      </w:r>
      <w:r>
        <w:rPr>
          <w:rStyle w:val="FunctionTok"/>
        </w:rPr>
        <w:t xml:space="preserve">mean</w:t>
      </w:r>
      <w:r>
        <w:rPr>
          <w:rStyle w:val="NormalTok"/>
        </w:rPr>
        <w:t xml:space="preserve">((t_boot</w:t>
      </w:r>
      <w:r>
        <w:rPr>
          <w:rStyle w:val="SpecialCharTok"/>
        </w:rPr>
        <w:t xml:space="preserve">$</w:t>
      </w:r>
      <w:r>
        <w:rPr>
          <w:rStyle w:val="NormalTok"/>
        </w:rPr>
        <w:t xml:space="preserve">total </w:t>
      </w:r>
      <w:r>
        <w:rPr>
          <w:rStyle w:val="SpecialCharTok"/>
        </w:rPr>
        <w:t xml:space="preserve">-</w:t>
      </w:r>
      <w:r>
        <w:rPr>
          <w:rStyle w:val="NormalTok"/>
        </w:rPr>
        <w:t xml:space="preserve"> ref_boot</w:t>
      </w:r>
      <w:r>
        <w:rPr>
          <w:rStyle w:val="SpecialCharTok"/>
        </w:rPr>
        <w:t xml:space="preserve">$</w:t>
      </w:r>
      <w:r>
        <w:rPr>
          <w:rStyle w:val="NormalTok"/>
        </w:rPr>
        <w:t xml:space="preserve">total)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n_samp </w:t>
      </w:r>
      <w:r>
        <w:rPr>
          <w:rStyle w:val="OtherTok"/>
        </w:rPr>
        <w:t xml:space="preserve">&lt;-</w:t>
      </w:r>
      <w:r>
        <w:rPr>
          <w:rStyle w:val="NormalTok"/>
        </w:rPr>
        <w:t xml:space="preserve"> </w:t>
      </w:r>
      <w:r>
        <w:rPr>
          <w:rStyle w:val="DecValTok"/>
        </w:rPr>
        <w:t xml:space="preserve">100000</w:t>
      </w:r>
      <w:r>
        <w:br/>
      </w:r>
      <w:r>
        <w:rPr>
          <w:rStyle w:val="NormalTok"/>
        </w:rPr>
        <w:t xml:space="preserve">ref_samp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ref_est</w:t>
      </w:r>
      <w:r>
        <w:rPr>
          <w:rStyle w:val="SpecialCharTok"/>
        </w:rPr>
        <w:t xml:space="preserve">$</w:t>
      </w:r>
      <w:r>
        <w:rPr>
          <w:rStyle w:val="NormalTok"/>
        </w:rPr>
        <w:t xml:space="preserve">shape, </w:t>
      </w:r>
      <w:r>
        <w:rPr>
          <w:rStyle w:val="AttributeTok"/>
        </w:rPr>
        <w:t xml:space="preserve">scale =</w:t>
      </w:r>
      <w:r>
        <w:rPr>
          <w:rStyle w:val="NormalTok"/>
        </w:rPr>
        <w:t xml:space="preserve"> ref_est</w:t>
      </w:r>
      <w:r>
        <w:rPr>
          <w:rStyle w:val="SpecialCharTok"/>
        </w:rPr>
        <w:t xml:space="preserve">$</w:t>
      </w:r>
      <w:r>
        <w:rPr>
          <w:rStyle w:val="NormalTok"/>
        </w:rPr>
        <w:t xml:space="preserve">scale)</w:t>
      </w:r>
      <w:r>
        <w:br/>
      </w:r>
      <w:r>
        <w:rPr>
          <w:rStyle w:val="NormalTok"/>
        </w:rPr>
        <w:t xml:space="preserve">t_samp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t_est</w:t>
      </w:r>
      <w:r>
        <w:rPr>
          <w:rStyle w:val="SpecialCharTok"/>
        </w:rPr>
        <w:t xml:space="preserve">$</w:t>
      </w:r>
      <w:r>
        <w:rPr>
          <w:rStyle w:val="NormalTok"/>
        </w:rPr>
        <w:t xml:space="preserve">shape, </w:t>
      </w:r>
      <w:r>
        <w:rPr>
          <w:rStyle w:val="AttributeTok"/>
        </w:rPr>
        <w:t xml:space="preserve">scale =</w:t>
      </w:r>
      <w:r>
        <w:rPr>
          <w:rStyle w:val="NormalTok"/>
        </w:rPr>
        <w:t xml:space="preserve"> t_est</w:t>
      </w:r>
      <w:r>
        <w:rPr>
          <w:rStyle w:val="SpecialCharTok"/>
        </w:rPr>
        <w:t xml:space="preserve">$</w:t>
      </w:r>
      <w:r>
        <w:rPr>
          <w:rStyle w:val="NormalTok"/>
        </w:rPr>
        <w:t xml:space="preserve">scale)</w:t>
      </w:r>
      <w:r>
        <w:br/>
      </w:r>
      <w:r>
        <w:rPr>
          <w:rStyle w:val="NormalTok"/>
        </w:rPr>
        <w:t xml:space="preserve">gamma_prob </w:t>
      </w:r>
      <w:r>
        <w:rPr>
          <w:rStyle w:val="OtherTok"/>
        </w:rPr>
        <w:t xml:space="preserve">&lt;-</w:t>
      </w:r>
      <w:r>
        <w:rPr>
          <w:rStyle w:val="NormalTok"/>
        </w:rPr>
        <w:t xml:space="preserve"> </w:t>
      </w:r>
      <w:r>
        <w:rPr>
          <w:rStyle w:val="FunctionTok"/>
        </w:rPr>
        <w:t xml:space="preserve">mean</w:t>
      </w:r>
      <w:r>
        <w:rPr>
          <w:rStyle w:val="NormalTok"/>
        </w:rPr>
        <w:t xml:space="preserve">((t_samp </w:t>
      </w:r>
      <w:r>
        <w:rPr>
          <w:rStyle w:val="SpecialCharTok"/>
        </w:rPr>
        <w:t xml:space="preserve">-</w:t>
      </w:r>
      <w:r>
        <w:rPr>
          <w:rStyle w:val="NormalTok"/>
        </w:rPr>
        <w:t xml:space="preserve"> ref_samp)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ref_boot, </w:t>
      </w:r>
      <w:r>
        <w:rPr>
          <w:rStyle w:val="AttributeTok"/>
        </w:rPr>
        <w:t xml:space="preserve">fill =</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ref_den,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t_boot,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t_den,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 </w:t>
      </w:r>
      <w:r>
        <w:rPr>
          <w:rStyle w:val="SpecialCharTok"/>
        </w:rPr>
        <w:t xml:space="preserve">*</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"Terminal estimate"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ref_est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 </w:t>
      </w:r>
      <w:r>
        <w:rPr>
          <w:rStyle w:val="SpecialCharTok"/>
        </w:rPr>
        <w:t xml:space="preserve">*</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"Reference point"</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(boot_prob,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(gamma_prob,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r>
        <w:br w:type="page"/>
      </w:r>
    </w:p>
    <w:bookmarkEnd w:id="46"/>
    <w:bookmarkStart w:id="48" w:name="colophon"/>
    <w:p>
      <w:pPr>
        <w:pStyle w:val="Heading1"/>
      </w:pPr>
      <w:r>
        <w:t xml:space="preserve">Colophon</w:t>
      </w:r>
    </w:p>
    <w:p>
      <w:pPr>
        <w:pStyle w:val="FirstParagraph"/>
      </w:pPr>
      <w:r>
        <w:t xml:space="preserve">This version of the document was generated on 2022-06-20 14:58:11 using the R markdown template for SCR documents from</w:t>
      </w:r>
      <w:r>
        <w:t xml:space="preserve"> </w:t>
      </w:r>
      <w:hyperlink r:id="rId47">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2022-06-20</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cowplot       1.1.1      2020-12-30 [1] CRAN (R 4.1.3)</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8"/>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hyperlink" Id="rId34" Target="https://doi.org/10.1371/journal.pone.0232822" TargetMode="External" /><Relationship Type="http://schemas.openxmlformats.org/officeDocument/2006/relationships/hyperlink" Id="rId47"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4" Target="https://doi.org/10.1371/journal.pone.0232822" TargetMode="External" /><Relationship Type="http://schemas.openxmlformats.org/officeDocument/2006/relationships/hyperlink" Id="rId47"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2022-06-20T17:28:18Z</dcterms:created>
  <dcterms:modified xsi:type="dcterms:W3CDTF">2022-06-20T17:28:18Z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2022-06-20</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