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开源代码的分析</w:t>
      </w:r>
      <w:r>
        <w:rPr>
          <w:rFonts w:hint="eastAsia"/>
        </w:rPr>
        <w:t>报告</w:t>
      </w:r>
    </w:p>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学习小组（成员：宋璎航、孙明宇、皮亚杰、施养权、曾梦媛</w:t>
      </w:r>
      <w:bookmarkStart w:id="0" w:name="_GoBack"/>
      <w:bookmarkEnd w:id="0"/>
      <w:r>
        <w:rPr>
          <w:rFonts w:hint="eastAsia" w:ascii="宋体" w:hAnsi="宋体" w:eastAsia="宋体" w:cs="宋体"/>
          <w:sz w:val="30"/>
          <w:szCs w:val="30"/>
          <w:lang w:val="en-US" w:eastAsia="zh-CN"/>
        </w:rPr>
        <w:t>）</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default" w:ascii="宋体" w:hAnsi="宋体" w:eastAsia="宋体" w:cs="宋体"/>
          <w:sz w:val="30"/>
          <w:szCs w:val="30"/>
          <w:lang w:val="en-US" w:eastAsia="zh-CN"/>
        </w:rPr>
      </w:pPr>
      <w:r>
        <w:rPr>
          <w:rFonts w:hint="eastAsia"/>
          <w:sz w:val="28"/>
          <w:szCs w:val="21"/>
        </w:rPr>
        <w:t>列出小米便签中的类及</w:t>
      </w:r>
      <w:r>
        <w:rPr>
          <w:sz w:val="28"/>
          <w:szCs w:val="21"/>
        </w:rPr>
        <w:t>各类的主要作用</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Java文件夹有一个子文件夹net.micode.notes，子文件夹中包含如下包：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data、gtask、model、tool、ui、widge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打开包文件夹，我们会发现下面出现了许多文件，那些就是类。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类是一个描述对象行为和状态的模板，对象是类的一个实例。类的声明中通常包含类的属性（数据）和类的方法（函数）。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软件功能与类间的对应关系如下</w:t>
      </w:r>
    </w:p>
    <w:p>
      <w:pPr>
        <w:pStyle w:val="7"/>
        <w:ind w:left="420" w:firstLine="0" w:firstLineChars="0"/>
        <w:jc w:val="center"/>
        <w:rPr>
          <w:rFonts w:hint="eastAsia" w:eastAsiaTheme="minorEastAsia"/>
          <w:b/>
          <w:lang w:eastAsia="zh-CN"/>
        </w:rPr>
      </w:pPr>
      <w:r>
        <w:rPr>
          <w:rFonts w:hint="eastAsia"/>
          <w:b/>
        </w:rPr>
        <w:t>表1</w:t>
      </w:r>
      <w:r>
        <w:rPr>
          <w:b/>
        </w:rPr>
        <w:t xml:space="preserve"> </w:t>
      </w:r>
      <w:r>
        <w:rPr>
          <w:rFonts w:hint="eastAsia"/>
          <w:b/>
        </w:rPr>
        <w:t>小米便签的代码构成及主要作用</w:t>
      </w:r>
      <w:r>
        <w:rPr>
          <w:rFonts w:hint="eastAsia"/>
          <w:b/>
          <w:lang w:eastAsia="zh-CN"/>
        </w:rPr>
        <w:t>（</w:t>
      </w:r>
      <w:r>
        <w:rPr>
          <w:rFonts w:hint="eastAsia"/>
          <w:b/>
          <w:lang w:val="en-US" w:eastAsia="zh-CN"/>
        </w:rPr>
        <w:t>括号内为对应代码负责解读成员</w:t>
      </w:r>
      <w:r>
        <w:rPr>
          <w:rFonts w:hint="eastAsia"/>
          <w:b/>
          <w:lang w:eastAsia="zh-CN"/>
        </w:rPr>
        <w:t>）</w:t>
      </w:r>
    </w:p>
    <w:tbl>
      <w:tblPr>
        <w:tblStyle w:val="5"/>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hint="default" w:ascii="Times New Roman" w:hAnsi="Times New Roman" w:cs="Times New Roman"/>
                <w:b/>
              </w:rPr>
            </w:pPr>
            <w:r>
              <w:rPr>
                <w:rFonts w:hint="default" w:ascii="Times New Roman" w:hAnsi="Times New Roman" w:cs="Times New Roman"/>
                <w:b/>
              </w:rPr>
              <w:t>包</w:t>
            </w:r>
          </w:p>
        </w:tc>
        <w:tc>
          <w:tcPr>
            <w:tcW w:w="995" w:type="dxa"/>
          </w:tcPr>
          <w:p>
            <w:pPr>
              <w:rPr>
                <w:rFonts w:hint="default" w:ascii="Times New Roman" w:hAnsi="Times New Roman" w:cs="Times New Roman"/>
                <w:b/>
              </w:rPr>
            </w:pPr>
            <w:r>
              <w:rPr>
                <w:rFonts w:hint="default" w:ascii="Times New Roman" w:hAnsi="Times New Roman" w:cs="Times New Roman"/>
                <w:b/>
              </w:rPr>
              <w:t>子包</w:t>
            </w:r>
          </w:p>
        </w:tc>
        <w:tc>
          <w:tcPr>
            <w:tcW w:w="2361" w:type="dxa"/>
          </w:tcPr>
          <w:p>
            <w:pPr>
              <w:rPr>
                <w:rFonts w:hint="default" w:ascii="Times New Roman" w:hAnsi="Times New Roman" w:cs="Times New Roman"/>
                <w:b/>
              </w:rPr>
            </w:pPr>
            <w:r>
              <w:rPr>
                <w:rFonts w:hint="default" w:ascii="Times New Roman" w:hAnsi="Times New Roman" w:cs="Times New Roman"/>
                <w:b/>
              </w:rPr>
              <w:t>类</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rPr>
            </w:pPr>
            <w:r>
              <w:rPr>
                <w:rFonts w:hint="default" w:ascii="Times New Roman" w:hAnsi="Times New Roman" w:cs="Times New Roman"/>
              </w:rPr>
              <w:t>data</w:t>
            </w:r>
          </w:p>
        </w:tc>
        <w:tc>
          <w:tcPr>
            <w:tcW w:w="995" w:type="dxa"/>
            <w:vMerge w:val="restart"/>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361" w:type="dxa"/>
          </w:tcPr>
          <w:p>
            <w:pPr>
              <w:rPr>
                <w:rFonts w:hint="default" w:ascii="Times New Roman" w:hAnsi="Times New Roman" w:cs="Times New Roman"/>
              </w:rPr>
            </w:pPr>
            <w:r>
              <w:rPr>
                <w:rFonts w:hint="default"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便签数据库</w:t>
            </w:r>
            <w:r>
              <w:rPr>
                <w:rFonts w:hint="eastAsia" w:asciiTheme="minorEastAsia" w:hAnsiTheme="minorEastAsia" w:eastAsiaTheme="minorEastAsia" w:cstheme="minorEastAsia"/>
                <w:color w:val="000000"/>
                <w:kern w:val="0"/>
                <w:sz w:val="22"/>
                <w:lang w:bidi="ar"/>
              </w:rPr>
              <w:t>，用于记录便签相关属性和数据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数据库帮助类</w:t>
            </w:r>
            <w:r>
              <w:rPr>
                <w:rFonts w:hint="eastAsia" w:asciiTheme="minorEastAsia" w:hAnsiTheme="minorEastAsia" w:eastAsiaTheme="minorEastAsia" w:cstheme="minorEastAsia"/>
                <w:color w:val="000000"/>
                <w:kern w:val="0"/>
                <w:sz w:val="22"/>
                <w:lang w:bidi="ar"/>
              </w:rPr>
              <w:t>，用于辅助创建、处理数据库的条目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便签信息提供类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Gtask</w:t>
            </w:r>
          </w:p>
        </w:tc>
        <w:tc>
          <w:tcPr>
            <w:tcW w:w="995"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(孙明宇)</w:t>
            </w:r>
          </w:p>
        </w:tc>
        <w:tc>
          <w:tcPr>
            <w:tcW w:w="2361"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p>
            <w:pPr>
              <w:rPr>
                <w:rFonts w:hint="default" w:ascii="Times New Roman" w:hAnsi="Times New Roman" w:cs="Times New Roman"/>
              </w:rPr>
            </w:pPr>
            <w:r>
              <w:rPr>
                <w:rFonts w:hint="eastAsia" w:ascii="Times New Roman" w:hAnsi="Times New Roman" w:cs="Times New Roman"/>
                <w:lang w:val="en-US" w:eastAsia="zh-CN"/>
              </w:rPr>
              <w:t>(孙明宇)</w:t>
            </w:r>
          </w:p>
        </w:tc>
        <w:tc>
          <w:tcPr>
            <w:tcW w:w="2361"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widowControl/>
              <w:jc w:val="left"/>
              <w:textAlignment w:val="center"/>
              <w:rPr>
                <w:rFonts w:hint="default" w:ascii="Times New Roman" w:hAnsi="Times New Roman" w:cs="Times New Roman"/>
              </w:rPr>
            </w:pPr>
            <w:r>
              <w:rPr>
                <w:rFonts w:hint="default" w:ascii="Times New Roman" w:hAnsi="Times New Roman" w:cs="Times New Roman"/>
              </w:rPr>
              <w:t>remote</w:t>
            </w:r>
          </w:p>
          <w:p>
            <w:pPr>
              <w:widowControl/>
              <w:jc w:val="left"/>
              <w:textAlignment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361" w:type="dxa"/>
            <w:vAlign w:val="center"/>
          </w:tcPr>
          <w:p>
            <w:pPr>
              <w:rPr>
                <w:rFonts w:hint="default" w:ascii="Times New Roman" w:hAnsi="Times New Roman" w:cs="Times New Roman"/>
              </w:rPr>
            </w:pPr>
            <w:r>
              <w:rPr>
                <w:rFonts w:hint="default"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GTask异步任务</w:t>
            </w:r>
            <w:r>
              <w:rPr>
                <w:rFonts w:hint="eastAsia" w:asciiTheme="minorEastAsia" w:hAnsiTheme="minorEastAsia" w:eastAsiaTheme="minorEastAsia" w:cstheme="minorEastAsia"/>
                <w:color w:val="000000"/>
                <w:kern w:val="0"/>
                <w:sz w:val="22"/>
                <w:lang w:bidi="ar"/>
              </w:rPr>
              <w:t>，方法包括任务同步和取消，显示同步任务的进程、通知和结果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GTaskClient</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GTask客户端</w:t>
            </w:r>
            <w:r>
              <w:rPr>
                <w:rFonts w:hint="eastAsia" w:asciiTheme="minorEastAsia" w:hAnsiTheme="minorEastAsia" w:eastAsiaTheme="minorEastAsia" w:cstheme="minorEastAsia"/>
                <w:color w:val="000000"/>
                <w:kern w:val="0"/>
                <w:sz w:val="22"/>
                <w:lang w:bidi="ar"/>
              </w:rPr>
              <w:t>，提供登录Google账户，创建任务和任务列表，添加和删除结点，提交、重置更新更新，获取任务列表等功能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GTaskManager</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GTask管理者</w:t>
            </w:r>
            <w:r>
              <w:rPr>
                <w:rFonts w:hint="eastAsia" w:asciiTheme="minorEastAsia" w:hAnsiTheme="minorEastAsia" w:eastAsiaTheme="minorEastAsia" w:cstheme="minorEastAsia"/>
                <w:color w:val="000000"/>
                <w:kern w:val="0"/>
                <w:sz w:val="22"/>
                <w:lang w:bidi="ar"/>
              </w:rPr>
              <w:t>，提供同步本地和远端的任务，初始化任务列表，同步内容、文件夹，添加、更新本地和远端结点，刷新本地同步任务ID等功能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GTaskSyncService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GTask同步服务</w:t>
            </w:r>
            <w:r>
              <w:rPr>
                <w:rFonts w:hint="eastAsia" w:asciiTheme="minorEastAsia" w:hAnsiTheme="minorEastAsia" w:eastAsiaTheme="minorEastAsia" w:cstheme="minorEastAsia"/>
                <w:color w:val="000000"/>
                <w:kern w:val="0"/>
                <w:sz w:val="22"/>
                <w:lang w:bidi="ar"/>
              </w:rPr>
              <w:t>，用于提供同步服务（开始、取消同步），发送广播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model</w:t>
            </w:r>
          </w:p>
        </w:tc>
        <w:tc>
          <w:tcPr>
            <w:tcW w:w="995"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361" w:type="dxa"/>
            <w:vAlign w:val="center"/>
          </w:tcPr>
          <w:p>
            <w:pPr>
              <w:rPr>
                <w:rFonts w:hint="default" w:ascii="Times New Roman" w:hAnsi="Times New Roman" w:cs="Times New Roman"/>
              </w:rPr>
            </w:pPr>
            <w:r>
              <w:rPr>
                <w:rFonts w:hint="default" w:ascii="Times New Roman" w:hAnsi="Times New Roman" w:cs="Times New Roman"/>
              </w:rPr>
              <w:t>Note</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单个便签项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WorkingNote</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当前活动便签项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tool</w:t>
            </w:r>
          </w:p>
        </w:tc>
        <w:tc>
          <w:tcPr>
            <w:tcW w:w="995"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361" w:type="dxa"/>
            <w:vAlign w:val="center"/>
          </w:tcPr>
          <w:p>
            <w:pPr>
              <w:rPr>
                <w:rFonts w:hint="default" w:ascii="Times New Roman" w:hAnsi="Times New Roman" w:cs="Times New Roman"/>
              </w:rPr>
            </w:pPr>
            <w:r>
              <w:rPr>
                <w:rFonts w:hint="default" w:ascii="Times New Roman" w:hAnsi="Times New Roman" w:cs="Times New Roman"/>
              </w:rPr>
              <w:t>BackupUtils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备份工具类</w:t>
            </w:r>
            <w:r>
              <w:rPr>
                <w:rFonts w:hint="eastAsia" w:asciiTheme="minorEastAsia" w:hAnsiTheme="minorEastAsia" w:eastAsiaTheme="minorEastAsia" w:cstheme="minorEastAsia"/>
                <w:color w:val="000000"/>
                <w:kern w:val="0"/>
                <w:sz w:val="22"/>
                <w:lang w:bidi="ar"/>
              </w:rPr>
              <w:t>，用于数据备份读取、显示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DataUtils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便签数据处理工具类</w:t>
            </w:r>
            <w:r>
              <w:rPr>
                <w:rFonts w:hint="eastAsia" w:asciiTheme="minorEastAsia" w:hAnsiTheme="minorEastAsia" w:eastAsiaTheme="minorEastAsia" w:cstheme="minorEastAsia"/>
                <w:color w:val="000000"/>
                <w:kern w:val="0"/>
                <w:sz w:val="22"/>
                <w:lang w:bidi="ar"/>
              </w:rPr>
              <w:t>，封装如查找、移动、删除数据等操作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GTaskStringUtils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同步中使用的字符串工具类</w:t>
            </w:r>
            <w:r>
              <w:rPr>
                <w:rFonts w:hint="eastAsia" w:asciiTheme="minorEastAsia" w:hAnsiTheme="minorEastAsia" w:eastAsiaTheme="minorEastAsia" w:cstheme="minorEastAsia"/>
                <w:color w:val="000000"/>
                <w:kern w:val="0"/>
                <w:sz w:val="22"/>
                <w:lang w:bidi="ar"/>
              </w:rPr>
              <w:t>，为jsonObject提供string对象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ResourceParser</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界面元素的解析工具类</w:t>
            </w:r>
            <w:r>
              <w:rPr>
                <w:rFonts w:hint="eastAsia" w:asciiTheme="minorEastAsia" w:hAnsiTheme="minorEastAsia" w:eastAsiaTheme="minorEastAsia" w:cstheme="minorEastAsia"/>
                <w:color w:val="000000"/>
                <w:kern w:val="0"/>
                <w:sz w:val="22"/>
                <w:lang w:bidi="ar"/>
              </w:rPr>
              <w:t>，利用R.java这个类获取资源供程序调用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ui</w:t>
            </w:r>
          </w:p>
        </w:tc>
        <w:tc>
          <w:tcPr>
            <w:tcW w:w="995"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宋璎航负责前6个，后续是孙明宇、皮亚杰、宋璎航三人共同负责</w:t>
            </w:r>
            <w:r>
              <w:rPr>
                <w:rFonts w:hint="eastAsia" w:ascii="Times New Roman" w:hAnsi="Times New Roman" w:eastAsia="等线" w:cs="Times New Roman"/>
                <w:color w:val="000000"/>
                <w:kern w:val="0"/>
                <w:sz w:val="22"/>
                <w:lang w:eastAsia="zh-CN" w:bidi="ar"/>
              </w:rPr>
              <w:t>）</w:t>
            </w:r>
          </w:p>
        </w:tc>
        <w:tc>
          <w:tcPr>
            <w:tcW w:w="2361" w:type="dxa"/>
            <w:vAlign w:val="center"/>
          </w:tcPr>
          <w:p>
            <w:pPr>
              <w:rPr>
                <w:rFonts w:hint="default" w:ascii="Times New Roman" w:hAnsi="Times New Roman" w:cs="Times New Roman"/>
              </w:rPr>
            </w:pPr>
            <w:r>
              <w:rPr>
                <w:rFonts w:hint="default" w:ascii="Times New Roman" w:hAnsi="Times New Roman" w:cs="Times New Roman"/>
              </w:rPr>
              <w:t>AlarmAlertActivity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AlarmInitReceiver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DateTimePickerDialog</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FoldersListAdapter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NoteEditText</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NoteItemData</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NotesListActivity</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主界面</w:t>
            </w:r>
            <w:r>
              <w:rPr>
                <w:rFonts w:hint="eastAsia" w:asciiTheme="minorEastAsia" w:hAnsiTheme="minorEastAsia" w:eastAsiaTheme="minorEastAsia" w:cstheme="minorEastAsia"/>
                <w:color w:val="000000"/>
                <w:kern w:val="0"/>
                <w:sz w:val="22"/>
                <w:lang w:bidi="ar"/>
              </w:rPr>
              <w:t>，实现处理文件夹列表的活动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NotesListAdapter</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NotesListItem</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NotesPreferenceActivity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便签同步的设置界面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widget</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val="en-US" w:eastAsia="zh-CN" w:bidi="ar"/>
              </w:rPr>
            </w:pPr>
            <w:r>
              <w:rPr>
                <w:rFonts w:hint="eastAsia" w:ascii="Times New Roman" w:hAnsi="Times New Roman" w:eastAsia="等线" w:cs="Times New Roman"/>
                <w:color w:val="000000"/>
                <w:kern w:val="0"/>
                <w:sz w:val="22"/>
                <w:lang w:val="en-US" w:eastAsia="zh-CN" w:bidi="ar"/>
              </w:rPr>
              <w:t>(皮亚杰)</w:t>
            </w: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NoteWidgetProvider_2x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2倍大小的桌面挂件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NoteWidgetProvider_4x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4倍大小的桌面挂件</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类间关系图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根据小米便签的开源代码，绘制其体系结构图</w:t>
      </w:r>
      <w:r>
        <w:rPr>
          <w:rFonts w:hint="eastAsia" w:asciiTheme="minorEastAsia" w:hAnsiTheme="minorEastAsia" w:cstheme="minorEastAsia"/>
          <w:lang w:val="en-US" w:eastAsia="zh-CN"/>
        </w:rPr>
        <w:t>(见</w:t>
      </w:r>
      <w:r>
        <w:rPr>
          <w:rFonts w:hint="eastAsia" w:asciiTheme="minorEastAsia" w:hAnsiTheme="minorEastAsia" w:eastAsiaTheme="minorEastAsia" w:cstheme="minorEastAsia"/>
        </w:rPr>
        <w:t>如图1</w:t>
      </w:r>
      <w:r>
        <w:rPr>
          <w:rFonts w:hint="eastAsia" w:asciiTheme="minorEastAsia" w:hAnsiTheme="minorEastAsia" w:cstheme="minorEastAsia"/>
          <w:lang w:eastAsia="zh-CN"/>
        </w:rPr>
        <w:t>）。</w:t>
      </w:r>
    </w:p>
    <w:p>
      <w:pPr>
        <w:jc w:val="center"/>
        <w:rPr>
          <w:b/>
        </w:rPr>
      </w:pPr>
      <w:r>
        <w:drawing>
          <wp:inline distT="0" distB="0" distL="0" distR="0">
            <wp:extent cx="5151755" cy="612203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pPr>
        <w:jc w:val="center"/>
        <w:rPr>
          <w:b/>
        </w:rPr>
      </w:pPr>
      <w:r>
        <w:rPr>
          <w:rFonts w:hint="eastAsia"/>
          <w:b/>
        </w:rPr>
        <w:t>图</w:t>
      </w:r>
      <w:r>
        <w:rPr>
          <w:rFonts w:hint="eastAsia"/>
          <w:b/>
          <w:lang w:val="en-US" w:eastAsia="zh-CN"/>
        </w:rPr>
        <w:t>1.</w:t>
      </w:r>
      <w:r>
        <w:rPr>
          <w:b/>
        </w:rPr>
        <w:t xml:space="preserve"> </w:t>
      </w:r>
      <w:r>
        <w:rPr>
          <w:rFonts w:hint="eastAsia"/>
          <w:b/>
        </w:rPr>
        <w:t>小米便签体系结构图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w:t>
      </w:r>
      <w:r>
        <w:rPr>
          <w:rFonts w:hint="eastAsia" w:asciiTheme="minorEastAsia" w:hAnsiTheme="minorEastAsia" w:cstheme="minorEastAsia"/>
          <w:lang w:val="en-US" w:eastAsia="zh-CN"/>
        </w:rPr>
        <w:t>图进一步描述了各个包中</w:t>
      </w:r>
      <w:r>
        <w:rPr>
          <w:rFonts w:hint="eastAsia" w:asciiTheme="minorEastAsia" w:hAnsiTheme="minorEastAsia" w:eastAsiaTheme="minorEastAsia" w:cstheme="minorEastAsia"/>
        </w:rPr>
        <w:t>类</w:t>
      </w:r>
      <w:r>
        <w:rPr>
          <w:rFonts w:hint="eastAsia" w:asciiTheme="minorEastAsia" w:hAnsiTheme="minorEastAsia" w:cstheme="minorEastAsia"/>
          <w:lang w:val="en-US" w:eastAsia="zh-CN"/>
        </w:rPr>
        <w:t>间的</w:t>
      </w:r>
      <w:r>
        <w:rPr>
          <w:rFonts w:hint="eastAsia" w:asciiTheme="minorEastAsia" w:hAnsiTheme="minorEastAsia" w:eastAsiaTheme="minorEastAsia" w:cstheme="minorEastAsia"/>
        </w:rPr>
        <w:t>关系</w:t>
      </w:r>
      <w:r>
        <w:rPr>
          <w:rFonts w:hint="eastAsia" w:asciiTheme="minorEastAsia" w:hAnsiTheme="minorEastAsia" w:cstheme="minorEastAsia"/>
          <w:lang w:eastAsia="zh-CN"/>
        </w:rPr>
        <w:t>。</w:t>
      </w:r>
    </w:p>
    <w:p>
      <w:pPr>
        <w:jc w:val="center"/>
        <w:rPr>
          <w:b/>
        </w:rPr>
      </w:pPr>
      <w:r>
        <w:drawing>
          <wp:inline distT="0" distB="0" distL="0" distR="0">
            <wp:extent cx="3816350" cy="185610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866790" cy="1880789"/>
                    </a:xfrm>
                    <a:prstGeom prst="rect">
                      <a:avLst/>
                    </a:prstGeom>
                  </pic:spPr>
                </pic:pic>
              </a:graphicData>
            </a:graphic>
          </wp:inline>
        </w:drawing>
      </w:r>
    </w:p>
    <w:p>
      <w:pPr>
        <w:jc w:val="center"/>
        <w:rPr>
          <w:b/>
        </w:rPr>
      </w:pPr>
      <w:r>
        <w:rPr>
          <w:rFonts w:hint="eastAsia"/>
          <w:b/>
        </w:rPr>
        <w:t>图</w:t>
      </w:r>
      <w:r>
        <w:rPr>
          <w:rFonts w:hint="eastAsia"/>
          <w:b/>
          <w:lang w:val="en-US" w:eastAsia="zh-CN"/>
        </w:rPr>
        <w:t>2.</w:t>
      </w:r>
      <w:r>
        <w:rPr>
          <w:b/>
        </w:rPr>
        <w:t xml:space="preserve"> </w:t>
      </w:r>
      <w:r>
        <w:rPr>
          <w:rFonts w:hint="eastAsia"/>
          <w:b/>
          <w:lang w:val="en-US" w:eastAsia="zh-CN"/>
        </w:rPr>
        <w:t xml:space="preserve"> </w:t>
      </w:r>
      <w:r>
        <w:rPr>
          <w:rFonts w:hint="eastAsia"/>
          <w:b/>
        </w:rPr>
        <w:t>data包</w:t>
      </w:r>
      <w:r>
        <w:rPr>
          <w:rFonts w:hint="eastAsia"/>
          <w:b/>
          <w:lang w:val="en-US" w:eastAsia="zh-CN"/>
        </w:rPr>
        <w:t>中类间</w:t>
      </w:r>
      <w:r>
        <w:rPr>
          <w:rFonts w:hint="eastAsia"/>
          <w:b/>
        </w:rPr>
        <w:t>的关系图</w:t>
      </w:r>
    </w:p>
    <w:p>
      <w:pPr>
        <w:jc w:val="center"/>
        <w:rPr>
          <w:b/>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785598" cy="1624808"/>
                    </a:xfrm>
                    <a:prstGeom prst="rect">
                      <a:avLst/>
                    </a:prstGeom>
                  </pic:spPr>
                </pic:pic>
              </a:graphicData>
            </a:graphic>
          </wp:inline>
        </w:drawing>
      </w:r>
    </w:p>
    <w:p>
      <w:pPr>
        <w:jc w:val="center"/>
        <w:rPr>
          <w:b/>
        </w:rPr>
      </w:pPr>
      <w:r>
        <w:drawing>
          <wp:inline distT="0" distB="0" distL="0" distR="0">
            <wp:extent cx="5274310" cy="1176020"/>
            <wp:effectExtent l="0" t="0" r="1397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17602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3.</w:t>
      </w:r>
      <w:r>
        <w:rPr>
          <w:rFonts w:hint="eastAsia"/>
          <w:b/>
        </w:rPr>
        <w:t xml:space="preserve"> </w:t>
      </w:r>
      <w:r>
        <w:rPr>
          <w:rFonts w:hint="eastAsia"/>
          <w:b/>
          <w:lang w:val="en-US" w:eastAsia="zh-CN"/>
        </w:rPr>
        <w:t xml:space="preserve"> </w:t>
      </w:r>
      <w:r>
        <w:rPr>
          <w:rFonts w:hint="eastAsia"/>
          <w:b/>
        </w:rPr>
        <w:t>gtask包</w:t>
      </w:r>
      <w:r>
        <w:rPr>
          <w:rFonts w:hint="eastAsia"/>
          <w:b/>
          <w:lang w:val="en-US" w:eastAsia="zh-CN"/>
        </w:rPr>
        <w:t>中类间的</w:t>
      </w:r>
      <w:r>
        <w:rPr>
          <w:rFonts w:hint="eastAsia"/>
          <w:b/>
        </w:rPr>
        <w:t>关系图</w:t>
      </w:r>
    </w:p>
    <w:p>
      <w:pPr>
        <w:jc w:val="center"/>
        <w:rPr>
          <w:b/>
        </w:rPr>
      </w:pPr>
      <w:r>
        <w:drawing>
          <wp:inline distT="0" distB="0" distL="0" distR="0">
            <wp:extent cx="3514090" cy="128841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562794" cy="1306142"/>
                    </a:xfrm>
                    <a:prstGeom prst="rect">
                      <a:avLst/>
                    </a:prstGeom>
                  </pic:spPr>
                </pic:pic>
              </a:graphicData>
            </a:graphic>
          </wp:inline>
        </w:drawing>
      </w:r>
    </w:p>
    <w:p>
      <w:pPr>
        <w:jc w:val="center"/>
        <w:rPr>
          <w:b/>
        </w:rPr>
      </w:pPr>
      <w:r>
        <w:rPr>
          <w:rFonts w:hint="eastAsia"/>
          <w:b/>
        </w:rPr>
        <w:t>图</w:t>
      </w:r>
      <w:r>
        <w:rPr>
          <w:rFonts w:hint="eastAsia"/>
          <w:b/>
          <w:lang w:val="en-US" w:eastAsia="zh-CN"/>
        </w:rPr>
        <w:t>4.</w:t>
      </w:r>
      <w:r>
        <w:rPr>
          <w:b/>
        </w:rPr>
        <w:t xml:space="preserve"> </w:t>
      </w:r>
      <w:r>
        <w:rPr>
          <w:rFonts w:hint="eastAsia"/>
          <w:b/>
        </w:rPr>
        <w:t>model包</w:t>
      </w:r>
      <w:r>
        <w:rPr>
          <w:rFonts w:hint="eastAsia"/>
          <w:b/>
          <w:lang w:val="en-US" w:eastAsia="zh-CN"/>
        </w:rPr>
        <w:t>中类间的</w:t>
      </w:r>
      <w:r>
        <w:rPr>
          <w:rFonts w:hint="eastAsia"/>
          <w:b/>
        </w:rPr>
        <w:t>关系图</w:t>
      </w:r>
    </w:p>
    <w:p>
      <w:pPr>
        <w:jc w:val="center"/>
        <w:rPr>
          <w:b/>
        </w:rPr>
      </w:pPr>
      <w:r>
        <w:drawing>
          <wp:inline distT="0" distB="0" distL="0" distR="0">
            <wp:extent cx="3371215" cy="1544320"/>
            <wp:effectExtent l="0" t="0" r="1206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455652" cy="1583459"/>
                    </a:xfrm>
                    <a:prstGeom prst="rect">
                      <a:avLst/>
                    </a:prstGeom>
                  </pic:spPr>
                </pic:pic>
              </a:graphicData>
            </a:graphic>
          </wp:inline>
        </w:drawing>
      </w:r>
    </w:p>
    <w:p>
      <w:pPr>
        <w:jc w:val="center"/>
        <w:rPr>
          <w:b/>
        </w:rPr>
      </w:pPr>
      <w:r>
        <w:rPr>
          <w:rFonts w:hint="eastAsia"/>
          <w:b/>
        </w:rPr>
        <w:t>图</w:t>
      </w:r>
      <w:r>
        <w:rPr>
          <w:rFonts w:hint="eastAsia"/>
          <w:b/>
          <w:lang w:val="en-US" w:eastAsia="zh-CN"/>
        </w:rPr>
        <w:t xml:space="preserve">5. </w:t>
      </w:r>
      <w:r>
        <w:rPr>
          <w:rFonts w:hint="eastAsia"/>
          <w:b/>
        </w:rPr>
        <w:t>widget包</w:t>
      </w:r>
      <w:r>
        <w:rPr>
          <w:rFonts w:hint="eastAsia"/>
          <w:b/>
          <w:lang w:val="en-US" w:eastAsia="zh-CN"/>
        </w:rPr>
        <w:t>中类间</w:t>
      </w:r>
      <w:r>
        <w:rPr>
          <w:rFonts w:hint="eastAsia"/>
          <w:b/>
        </w:rPr>
        <w:t>的关系图</w:t>
      </w:r>
    </w:p>
    <w:p>
      <w:pPr>
        <w:rPr>
          <w:b/>
        </w:rPr>
      </w:pPr>
    </w:p>
    <w:p>
      <w:r>
        <w:drawing>
          <wp:inline distT="0" distB="0" distL="0" distR="0">
            <wp:extent cx="5274310" cy="3091180"/>
            <wp:effectExtent l="0" t="0" r="139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6.</w:t>
      </w:r>
      <w:r>
        <w:rPr>
          <w:rFonts w:hint="eastAsia"/>
          <w:b/>
        </w:rPr>
        <w:t xml:space="preserve"> ui包</w:t>
      </w:r>
      <w:r>
        <w:rPr>
          <w:rFonts w:hint="eastAsia"/>
          <w:b/>
          <w:lang w:val="en-US" w:eastAsia="zh-CN"/>
        </w:rPr>
        <w:t>中类间</w:t>
      </w:r>
      <w:r>
        <w:rPr>
          <w:rFonts w:hint="eastAsia"/>
          <w:b/>
        </w:rPr>
        <w:t>的关系图</w:t>
      </w:r>
    </w:p>
    <w:p/>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rPr>
          <w:rFonts w:hint="eastAsia" w:eastAsiaTheme="minorEastAsia"/>
          <w:lang w:eastAsia="zh-CN"/>
        </w:rPr>
      </w:pPr>
      <w:r>
        <w:rPr>
          <w:rFonts w:hint="eastAsia" w:eastAsiaTheme="minorEastAsia"/>
          <w:lang w:eastAsia="zh-CN"/>
        </w:rPr>
        <w:drawing>
          <wp:inline distT="0" distB="0" distL="114300" distR="114300">
            <wp:extent cx="4650105" cy="3628390"/>
            <wp:effectExtent l="0" t="0" r="13335" b="13970"/>
            <wp:docPr id="1" name="图片 1" descr="fb5e7115203c6199d0b576587ce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5e7115203c6199d0b576587cea31a"/>
                    <pic:cNvPicPr>
                      <a:picLocks noChangeAspect="1"/>
                    </pic:cNvPicPr>
                  </pic:nvPicPr>
                  <pic:blipFill>
                    <a:blip r:embed="rId11"/>
                    <a:stretch>
                      <a:fillRect/>
                    </a:stretch>
                  </pic:blipFill>
                  <pic:spPr>
                    <a:xfrm>
                      <a:off x="0" y="0"/>
                      <a:ext cx="4650105" cy="3628390"/>
                    </a:xfrm>
                    <a:prstGeom prst="rect">
                      <a:avLst/>
                    </a:prstGeom>
                  </pic:spPr>
                </pic:pic>
              </a:graphicData>
            </a:graphic>
          </wp:inline>
        </w:drawing>
      </w:r>
    </w:p>
    <w:p>
      <w:pPr>
        <w:pStyle w:val="7"/>
        <w:numPr>
          <w:ilvl w:val="0"/>
          <w:numId w:val="0"/>
        </w:numPr>
        <w:ind w:leftChars="0"/>
        <w:jc w:val="center"/>
        <w:rPr>
          <w:rFonts w:hint="eastAsia"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小米便签的功能分类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功能1：新建/删除/移动便签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移动便签：通过长按便签并选择移动选项可以将已创建的便签移动到某个文件夹中，用于在快速创建便签后对便签集进行有效的管理。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功能2：新建文件夹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在主界面的选项中可以选择“新建文件夹”，用于分类管理便签。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功能3：导出文本</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在主界面的选项中可以选择“导出文件”，在Android手机提供SD卡支持的情况下，将小米便签中的便签内容逐个转化为.txt的文本文档。</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功能4：同步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在主界面的选项中可以选择“同步”，与Google Task中的备忘录事项，将本地的事项上传到服务器，或将Google服务器上的表单下载到本地。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功能5：检索便签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 “搜索”，通过关键词查找到包含该关键词的便签，显示在界面上。</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功能6：修改字体大小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在便签编辑的界面，在选项中选择“字体大小”，可以将当前便签的所有字体进行放大和缩小，其中包括4中字体大小：小、正常、大、超大。</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功能7：修改便签背景颜色</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功能8：进入清单模式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功能9：发送到桌面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在Android操作系统的桌面创建小米便签的小部件后，在编写便签完成后，使用选项“发送至桌面”，便可在便签小部件上显示当前便签的内容。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功能10：添加/删除提醒</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删除提醒：在便签编辑界面可以选择“删除提醒”选项。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功能11：识别电话号码和网址</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在便签编辑页面上，如果输入了一段电话号码格式的数字或者网址格式的字符串，小米便签开源软件会自动识别，并把其变为链接，长按则会出现“呼叫号码”和“浏览网页”的选项。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功能12：分享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在便签编辑页面上可以选择“分享”选项，之后可以将便签内容分享给GTask、QQ、微信等应用程序，其过程以纯文本格式进行。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pPr>
      <w:r>
        <w:rPr>
          <w:rFonts w:hint="eastAsia"/>
          <w:b/>
          <w:sz w:val="28"/>
          <w:szCs w:val="21"/>
          <w:lang w:val="en-US" w:eastAsia="zh-CN"/>
        </w:rPr>
        <w:t>软件</w:t>
      </w:r>
      <w:r>
        <w:rPr>
          <w:rFonts w:hint="eastAsia"/>
          <w:b/>
          <w:sz w:val="28"/>
          <w:szCs w:val="21"/>
        </w:rPr>
        <w:t>功能与类间的对应关系</w:t>
      </w:r>
    </w:p>
    <w:tbl>
      <w:tblPr>
        <w:tblStyle w:val="4"/>
        <w:tblW w:w="9259"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52"/>
        <w:gridCol w:w="1383"/>
        <w:gridCol w:w="2352"/>
        <w:gridCol w:w="4872"/>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blHeader/>
        </w:trPr>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序号</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功能名称</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实现模块</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实现方法</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createNewNote()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删除便签</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移动便签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DataUtils</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moveNoteToFolder(),batchMoveToFolder()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查看文件夹</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openFolder()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deleteFolder()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修改文件夹名称</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导出文本</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exportNoteToText()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同步</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GTaskSyncService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startSync()</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搜索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onSearchRequest()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修改字体大小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修改便签背景颜色</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setBgColorId()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进入清单模式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setCheckListMode()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发送到桌面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sendToDesktop()</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添加提醒</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setReminder()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删除提醒</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setAlertDate()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识别电话号码</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Contact</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getContact()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分享</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getWorkingText(), sendTo()</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保存便签（自动）</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saveNote()</w:t>
            </w:r>
          </w:p>
        </w:tc>
      </w:tr>
    </w:tbl>
    <w:p>
      <w:pPr>
        <w:keepNext w:val="0"/>
        <w:keepLines w:val="0"/>
        <w:widowControl/>
        <w:suppressLineNumbers w:val="0"/>
        <w:jc w:val="left"/>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在进行小米便签运行环境配置（Eclipse、AndroidStudio）的过程中掌握了多种插件的使用，这些插件可以大大提高代码分析的效率；</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在阅读开源代码的过程中，掌握了一部分有关Java、Android开发的相关知识，认识</w:t>
      </w:r>
      <w:r>
        <w:rPr>
          <w:rFonts w:hint="eastAsia" w:ascii="Times New Roman" w:hAnsi="Times New Roman" w:cs="Times New Roman"/>
          <w:lang w:val="en-US" w:eastAsia="zh-CN"/>
        </w:rPr>
        <w:t>和学习</w:t>
      </w:r>
      <w:r>
        <w:rPr>
          <w:rFonts w:hint="default" w:ascii="Times New Roman" w:hAnsi="Times New Roman" w:cs="Times New Roman"/>
        </w:rPr>
        <w:t>到了一些开发的基本准则</w:t>
      </w:r>
      <w:r>
        <w:rPr>
          <w:rFonts w:hint="eastAsia" w:ascii="Times New Roman" w:hAnsi="Times New Roman" w:cs="Times New Roman"/>
          <w:lang w:val="en-US" w:eastAsia="zh-CN"/>
        </w:rPr>
        <w:t>和严谨代码规范</w:t>
      </w:r>
      <w:r>
        <w:rPr>
          <w:rFonts w:hint="default" w:ascii="Times New Roman" w:hAnsi="Times New Roman" w:cs="Times New Roman"/>
        </w:rPr>
        <w:t>，对软件的体系结构有了一个较为清晰的理解；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在代码质量分析的过程中，理解了一些软件质量的标准，对一些代码中存在的质量问题可以初步识别。</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eastAsia" w:ascii="Times New Roman" w:hAnsi="Times New Roman" w:cs="Times New Roman"/>
        </w:rPr>
        <w:t>对Java语言和Andriod开发的架构不够熟悉，</w:t>
      </w:r>
      <w:r>
        <w:rPr>
          <w:rFonts w:hint="eastAsia" w:ascii="Times New Roman" w:hAnsi="Times New Roman" w:cs="Times New Roman"/>
          <w:lang w:val="en-US" w:eastAsia="zh-CN"/>
        </w:rPr>
        <w:t>所以</w:t>
      </w:r>
      <w:r>
        <w:rPr>
          <w:rFonts w:hint="eastAsia" w:ascii="Times New Roman" w:hAnsi="Times New Roman" w:cs="Times New Roman"/>
        </w:rPr>
        <w:t>在阅读代码中存在很多障碍，导致对代码具体理解不够清晰，需要在精读过程中加深理解；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eastAsia" w:ascii="Times New Roman" w:hAnsi="Times New Roman" w:cs="Times New Roman"/>
        </w:rPr>
        <w:t>由于大部分工作都是通过自学和个人理解下进行的，导致很多实践性的标准规范，以及一些概念都不是很准确，需要在</w:t>
      </w:r>
      <w:r>
        <w:rPr>
          <w:rFonts w:hint="eastAsia" w:ascii="Times New Roman" w:hAnsi="Times New Roman" w:cs="Times New Roman"/>
          <w:lang w:val="en-US" w:eastAsia="zh-CN"/>
        </w:rPr>
        <w:t>这次实验</w:t>
      </w:r>
      <w:r>
        <w:rPr>
          <w:rFonts w:hint="eastAsia" w:ascii="Times New Roman" w:hAnsi="Times New Roman" w:cs="Times New Roman"/>
        </w:rPr>
        <w:t>的过程中逐步提升</w:t>
      </w:r>
      <w:r>
        <w:rPr>
          <w:rFonts w:hint="eastAsia" w:ascii="Times New Roman" w:hAnsi="Times New Roman" w:cs="Times New Roman"/>
          <w:lang w:val="en-US" w:eastAsia="zh-CN"/>
        </w:rPr>
        <w:t>和继续努力</w:t>
      </w:r>
      <w:r>
        <w:rPr>
          <w:rFonts w:hint="eastAsia" w:ascii="Times New Roman" w:hAnsi="Times New Roman" w:cs="Times New Roma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41609CF"/>
    <w:rsid w:val="398C2F64"/>
    <w:rsid w:val="48E858DE"/>
    <w:rsid w:val="7C47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3097</Words>
  <Characters>4456</Characters>
  <Lines>0</Lines>
  <Paragraphs>0</Paragraphs>
  <TotalTime>3</TotalTime>
  <ScaleCrop>false</ScaleCrop>
  <LinksUpToDate>false</LinksUpToDate>
  <CharactersWithSpaces>4471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2023-03-22T07:48:00Z</dcterms:created>
  <dc:creator>施养权</dc:creator>
  <cp:lastModifiedBy>。。。</cp:lastModifiedBy>
  <dcterms:modified xsi:type="dcterms:W3CDTF">2023-03-27T02:33:44Z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9E5D0FC6AFFB497BAA5DE656F6BE6815</vt:lpwstr>
  </property>
</Properties>
</file>