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r>
        <w:drawing>
          <wp:inline distT="0" distB="0" distL="114300" distR="114300">
            <wp:extent cx="5266690" cy="186372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Borrow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 w:cs="宋体"/>
          <w:sz w:val="24"/>
          <w:szCs w:val="24"/>
        </w:rPr>
        <w:t>是可激活的变迁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因为位置Avail没有令牌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。如果触发Return变迁，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位置ReturnRequest和OnLoan中各清除一个令牌，并在Avail中插入一个令牌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</w:rPr>
        <w:t>1</w:t>
      </w:r>
      <w:r>
        <w:rPr>
          <w:rFonts w:ascii="宋体" w:hAnsi="宋体" w:eastAsia="宋体"/>
          <w:b/>
        </w:rPr>
        <w:t>. 如何知道规格说明是否存在矛盾?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如果有两个相同的列，但对应的操作是不同的，则规格说明存在矛盾。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2</w:t>
      </w:r>
      <w:r>
        <w:rPr>
          <w:rFonts w:ascii="宋体" w:hAnsi="宋体" w:eastAsia="宋体"/>
          <w:b/>
        </w:rPr>
        <w:t>. 判定</w:t>
      </w:r>
      <w:r>
        <w:rPr>
          <w:rFonts w:hint="eastAsia" w:ascii="宋体" w:hAnsi="宋体" w:eastAsia="宋体"/>
          <w:b/>
        </w:rPr>
        <w:t>表的其他哪些特性提醒我们需求中的问题</w:t>
      </w:r>
      <w:r>
        <w:rPr>
          <w:rFonts w:ascii="宋体" w:hAnsi="宋体" w:eastAsia="宋体"/>
          <w:b/>
        </w:rPr>
        <w:t>?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如果有一些条件的组合没有考虑到，即没有对应的操作，则规格说明是不完备的；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可以考虑个别条件和个别动作之间的关联程度，进而组合成单个列，缩小判定表规模。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</w:p>
    <w:tbl>
      <w:tblPr>
        <w:tblStyle w:val="3"/>
        <w:tblW w:w="8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1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1"/>
                <w:szCs w:val="22"/>
              </w:rPr>
              <w:t>判别式情况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eastAsia="宋体" w:cs="Times New Roman"/>
                  <w:kern w:val="0"/>
                  <w:sz w:val="20"/>
                  <w:szCs w:val="20"/>
                </w:rPr>
                <m:t>−4ac</m:t>
              </m:r>
            </m:oMath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2"/>
              </w:rPr>
              <w:t>&lt;0</w:t>
            </w:r>
          </w:p>
        </w:tc>
        <w:tc>
          <w:tcPr>
            <w:tcW w:w="218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eastAsia="宋体" w:cs="Times New Roman"/>
                  <w:kern w:val="0"/>
                  <w:sz w:val="20"/>
                  <w:szCs w:val="20"/>
                </w:rPr>
                <m:t>−4ac</m:t>
              </m:r>
            </m:oMath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2"/>
              </w:rPr>
              <w:t>=0</w:t>
            </w:r>
          </w:p>
        </w:tc>
        <w:tc>
          <w:tcPr>
            <w:tcW w:w="218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宋体" w:cs="Times New Roman"/>
                      <w:kern w:val="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b/>
                      <w:bCs/>
                      <w:i/>
                      <w:kern w:val="0"/>
                      <w:sz w:val="21"/>
                      <w:szCs w:val="22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eastAsia="宋体" w:cs="Times New Roman"/>
                  <w:kern w:val="0"/>
                  <w:sz w:val="20"/>
                  <w:szCs w:val="20"/>
                </w:rPr>
                <m:t>−4ac</m:t>
              </m:r>
            </m:oMath>
            <w:r>
              <w:rPr>
                <w:rFonts w:hint="eastAsia" w:ascii="宋体" w:hAnsi="宋体" w:eastAsia="宋体" w:cs="Times New Roman"/>
                <w:b/>
                <w:kern w:val="0"/>
                <w:sz w:val="21"/>
                <w:szCs w:val="22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1"/>
                <w:szCs w:val="22"/>
              </w:rPr>
              <w:t>根x的值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1"/>
                <w:szCs w:val="22"/>
              </w:rPr>
              <w:t>不存在</w:t>
            </w:r>
          </w:p>
        </w:tc>
        <w:tc>
          <w:tcPr>
            <w:tcW w:w="218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</w:rPr>
                      <m:t>−b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</w:rPr>
                      <m:t>2a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den>
                </m:f>
              </m:oMath>
            </m:oMathPara>
          </w:p>
        </w:tc>
        <w:tc>
          <w:tcPr>
            <w:tcW w:w="218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</w:rPr>
                      <m:t>−b±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1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1"/>
                            <w:szCs w:val="22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eastAsia="宋体" w:cs="Times New Roman"/>
                                <w:b/>
                                <w:bCs/>
                                <w:i/>
                                <w:kern w:val="0"/>
                                <w:sz w:val="21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eastAsia="宋体" w:cs="Times New Roman"/>
                                <w:kern w:val="0"/>
                                <w:sz w:val="20"/>
                                <w:szCs w:val="20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b/>
                                <w:bCs/>
                                <w:i/>
                                <w:kern w:val="0"/>
                                <w:sz w:val="21"/>
                                <w:szCs w:val="22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eastAsia="宋体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b/>
                                <w:bCs/>
                                <w:i/>
                                <w:kern w:val="0"/>
                                <w:sz w:val="21"/>
                                <w:szCs w:val="22"/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宋体" w:cs="Times New Roman"/>
                            <w:kern w:val="0"/>
                            <w:sz w:val="20"/>
                            <w:szCs w:val="20"/>
                          </w:rPr>
                          <m:t>−4ac</m:t>
                        </m:r>
                        <m:ctrlPr>
                          <w:rPr>
                            <w:rFonts w:ascii="Cambria Math" w:hAnsi="Cambria Math" w:eastAsia="宋体" w:cs="Times New Roman"/>
                            <w:b/>
                            <w:bCs/>
                            <w:i/>
                            <w:kern w:val="0"/>
                            <w:sz w:val="21"/>
                            <w:szCs w:val="22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宋体" w:cs="Times New Roman"/>
                        <w:kern w:val="0"/>
                        <w:sz w:val="20"/>
                        <w:szCs w:val="20"/>
                      </w:rPr>
                      <m:t>2a</m:t>
                    </m:r>
                    <m:ctrlPr>
                      <w:rPr>
                        <w:rFonts w:ascii="Cambria Math" w:hAnsi="Cambria Math" w:eastAsia="宋体" w:cs="Times New Roman"/>
                        <w:b/>
                        <w:bCs/>
                        <w:i/>
                        <w:kern w:val="0"/>
                        <w:sz w:val="21"/>
                        <w:szCs w:val="22"/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①自动取款机取走的钱，永远不会比用户余额中的钱多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balance））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②自动取款机取走的钱，永远不会比用户要求取走的钱多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amount））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①当已登录的用户确定要取钱，且他的账号中有足够的钱，且自动取款机有足够的钱，则自动取款机将给用户对应数目的钱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（（process request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balance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ABM funds）=&gt; 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（money = amount））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②当用户结束取钱，则自动取款机退还给用户卡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（（session ^ cancel）=&gt; </w:t>
      </w:r>
      <w:r>
        <w:rPr>
          <w:rFonts w:hint="eastAsia"/>
          <w:b/>
          <w:bCs/>
          <w:lang w:val="en-US" w:eastAsia="zh-CN"/>
        </w:rPr>
        <w:t xml:space="preserve">O </w:t>
      </w:r>
      <w:r>
        <w:rPr>
          <w:rFonts w:hint="eastAsia"/>
          <w:b w:val="0"/>
          <w:bCs w:val="0"/>
          <w:lang w:val="en-US" w:eastAsia="zh-CN"/>
        </w:rPr>
        <w:t>card returned）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通常写在</w:t>
      </w:r>
      <w:r>
        <w:rPr>
          <w:rFonts w:hint="eastAsia"/>
          <w:lang w:val="en-US" w:eastAsia="zh-CN"/>
        </w:rPr>
        <w:t>UML的</w:t>
      </w:r>
      <w:r>
        <w:rPr>
          <w:rFonts w:hint="eastAsia"/>
        </w:rPr>
        <w:t>约束图中，该图</w:t>
      </w:r>
      <w:r>
        <w:rPr>
          <w:rFonts w:hint="eastAsia"/>
          <w:lang w:val="en-US" w:eastAsia="zh-CN"/>
        </w:rPr>
        <w:t>主要说明</w:t>
      </w:r>
      <w:r>
        <w:rPr>
          <w:rFonts w:hint="eastAsia"/>
        </w:rPr>
        <w:t>了3个类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左边的约束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Patron类上的不变量，规定罚金不能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负数。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边</w:t>
      </w:r>
      <w:r>
        <w:rPr>
          <w:rFonts w:hint="eastAsia"/>
        </w:rPr>
        <w:t>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Publication类的不变量，规定图书编目号码是唯一的。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对于其他</w:t>
      </w:r>
      <w:r>
        <w:rPr>
          <w:rFonts w:hint="eastAsia" w:ascii="宋体" w:hAnsi="宋体" w:eastAsia="宋体"/>
        </w:rPr>
        <w:t>的约束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属于Borrow，表示该操作的前置条件和后置条件。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2880" cy="2466340"/>
            <wp:effectExtent l="0" t="0" r="10160" b="25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t>确认</w:t>
      </w:r>
      <w:r>
        <w:rPr>
          <w:rFonts w:hint="eastAsia" w:ascii="宋体" w:hAnsi="宋体" w:eastAsia="宋体"/>
        </w:rPr>
        <w:t>需求</w:t>
      </w:r>
      <w:r>
        <w:rPr>
          <w:rFonts w:ascii="宋体" w:hAnsi="宋体" w:eastAsia="宋体"/>
        </w:rPr>
        <w:t>：阿丽亚娜5型火箭中不再需要的SRI功能在阿丽亚娜4型火箭中仍在使用，如果正确地确认了</w:t>
      </w:r>
      <w:r>
        <w:rPr>
          <w:rFonts w:hint="eastAsia" w:ascii="宋体" w:hAnsi="宋体" w:eastAsia="宋体"/>
        </w:rPr>
        <w:t>该需求，则在起飞后，就可以发现该功能还在活动，就可能预防火箭的爆炸。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②</w:t>
      </w:r>
      <w:r>
        <w:rPr>
          <w:rFonts w:ascii="宋体" w:hAnsi="宋体" w:eastAsia="宋体"/>
        </w:rPr>
        <w:t>模拟需求：</w:t>
      </w:r>
      <w:r>
        <w:rPr>
          <w:rFonts w:hint="eastAsia" w:ascii="宋体" w:hAnsi="宋体" w:eastAsia="宋体"/>
        </w:rPr>
        <w:t>阿丽亚娜5型火箭本可以改变为复用SRI代码的修改版本，在模拟后，将说明SRI在发射后仍继续运行，就可以避免火箭真正运行时发生故障。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③</w:t>
      </w:r>
      <w:r>
        <w:rPr>
          <w:rFonts w:ascii="宋体" w:hAnsi="宋体" w:eastAsia="宋体"/>
        </w:rPr>
        <w:t>考虑</w:t>
      </w:r>
      <w:r>
        <w:rPr>
          <w:rFonts w:hint="eastAsia" w:ascii="宋体" w:hAnsi="宋体" w:eastAsia="宋体"/>
        </w:rPr>
        <w:t>一下Ardis和他的同事们的为选择规格说明语言提出的标准列表：这个列表包括对阿丽亚娜5型火箭非常重要的两条——可测试性/模拟和运行时安全性。Ardis的研究中，他们小组检查了7中规格说明语言，只有SDL在这两方面被评为“强”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222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2023-04-26T11:27:13Z</dcterms:created>
  <dc:creator>施养权</dc:creator>
  <cp:lastModifiedBy>施养权</cp:lastModifiedBy>
  <dcterms:modified xsi:type="dcterms:W3CDTF">2023-04-26T12:02:01Z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9F8D2BF68CE1422B9CC8191E2949D4B0_12</vt:lpwstr>
  </property>
</Properties>
</file>