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AcmeFlow Billing FAQ</w:t>
      </w:r>
    </w:p>
    <w:p>
      <w:pPr>
        <w:pStyle w:val="Subtitle"/>
      </w:pPr>
      <w:r>
        <w:rPr>
          <w:color w:val="6C7D74"/>
        </w:rPr>
        <w:t>AcmeFlow customer support reference</w:t>
      </w:r>
    </w:p>
    <w:p>
      <w:r>
        <w:t>This guide explains the common billing paths available to workspace owners. Private invoice and payment state still require account access.</w:t>
      </w:r>
    </w:p>
    <w:p>
      <w:pPr>
        <w:pStyle w:val="Heading1"/>
      </w:pPr>
      <w:r>
        <w:t>Billing basics</w:t>
      </w:r>
    </w:p>
    <w:p>
      <w:r>
        <w:t>Open Settings &gt; Billing to view the current plan, billing contact, payment method, and invoices.</w:t>
      </w:r>
    </w:p>
    <w:p>
      <w:r>
        <w:t>Plan prices can vary by region, term, and contract. The billing screen and checkout summary are the source of truth for the workspace.</w:t>
      </w:r>
    </w:p>
    <w:p>
      <w:pPr>
        <w:pStyle w:val="Heading1"/>
      </w:pPr>
      <w:r>
        <w:t>Refunds and cancellations</w:t>
      </w:r>
    </w:p>
    <w:p>
      <w:r>
        <w:t>An eligible subscription refund must be requested within 30 calendar days of the original charge. Cancellation stops the next renewal and does not by itself confirm a refund.</w:t>
      </w:r>
    </w:p>
    <w:p>
      <w:r>
        <w:t>The support assistant can explain the published policy but cannot see an individual invoice, refund status, or cancellation state.</w:t>
      </w:r>
    </w:p>
    <w:p>
      <w:pPr>
        <w:pStyle w:val="Heading1"/>
      </w:pPr>
      <w:r>
        <w:t>Quick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D6B51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97"/>
            <w:shd w:fill="1D6B51"/>
          </w:tcPr>
          <w:p>
            <w:r>
              <w:rPr>
                <w:b/>
                <w:color w:val="FFFFFF"/>
              </w:rPr>
              <w:t>Published answer</w:t>
            </w:r>
          </w:p>
        </w:tc>
      </w:tr>
      <w:tr>
        <w:tc>
          <w:tcPr>
            <w:tcW w:type="dxa" w:w="4997"/>
            <w:shd w:fill="F0F6F1"/>
          </w:tcPr>
          <w:p>
            <w:r>
              <w:t>When can I request a refund?</w:t>
            </w:r>
          </w:p>
        </w:tc>
        <w:tc>
          <w:tcPr>
            <w:tcW w:type="dxa" w:w="4997"/>
            <w:shd w:fill="F0F6F1"/>
          </w:tcPr>
          <w:p>
            <w:r>
              <w:t>Within 30 calendar days of the original eligible charge.</w:t>
            </w:r>
          </w:p>
        </w:tc>
      </w:tr>
      <w:tr>
        <w:tc>
          <w:tcPr>
            <w:tcW w:type="dxa" w:w="4997"/>
          </w:tcPr>
          <w:p>
            <w:r>
              <w:t>Where can I find an invoice?</w:t>
            </w:r>
          </w:p>
        </w:tc>
        <w:tc>
          <w:tcPr>
            <w:tcW w:type="dxa" w:w="4997"/>
          </w:tcPr>
          <w:p>
            <w:r>
              <w:t>Settings &gt; Billing &gt; Invoices.</w:t>
            </w:r>
          </w:p>
        </w:tc>
      </w:tr>
      <w:tr>
        <w:tc>
          <w:tcPr>
            <w:tcW w:type="dxa" w:w="4997"/>
            <w:shd w:fill="F0F6F1"/>
          </w:tcPr>
          <w:p>
            <w:r>
              <w:t>Can support see my payment status?</w:t>
            </w:r>
          </w:p>
        </w:tc>
        <w:tc>
          <w:tcPr>
            <w:tcW w:type="dxa" w:w="4997"/>
            <w:shd w:fill="F0F6F1"/>
          </w:tcPr>
          <w:p>
            <w:r>
              <w:t>Not from a general chat request; a human teammate must review an account-specific request.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 w:eastAsia="Aptos"/>
      <w:color w:val="2735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