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B4848" w14:textId="1D7873B8" w:rsidR="000A1A4F" w:rsidRPr="00A86B5E" w:rsidRDefault="00A86B5E" w:rsidP="00A86B5E">
      <w:pPr>
        <w:jc w:val="center"/>
        <w:rPr>
          <w:b/>
          <w:bCs/>
        </w:rPr>
      </w:pPr>
      <w:r w:rsidRPr="00A86B5E">
        <w:rPr>
          <w:b/>
          <w:bCs/>
        </w:rPr>
        <w:t>Methylation Filtering, Normalization, and Differential Methylation Calculation: Documentation</w:t>
      </w:r>
    </w:p>
    <w:p w14:paraId="30FC2B4B" w14:textId="5515A0BB" w:rsidR="00A86B5E" w:rsidRDefault="00A86B5E"/>
    <w:p w14:paraId="39C40086" w14:textId="02320962" w:rsidR="00A86B5E" w:rsidRPr="00C87C9A" w:rsidRDefault="00A86B5E" w:rsidP="00A86B5E">
      <w:pPr>
        <w:pStyle w:val="ListParagraph"/>
        <w:numPr>
          <w:ilvl w:val="0"/>
          <w:numId w:val="1"/>
        </w:numPr>
        <w:rPr>
          <w:b/>
          <w:bCs/>
        </w:rPr>
      </w:pPr>
      <w:r w:rsidRPr="00C87C9A">
        <w:rPr>
          <w:b/>
          <w:bCs/>
        </w:rPr>
        <w:t>FILTERING</w:t>
      </w:r>
    </w:p>
    <w:p w14:paraId="549EB544" w14:textId="232CABE0" w:rsidR="00C87C9A" w:rsidRDefault="00C87C9A" w:rsidP="00C87C9A">
      <w:pPr>
        <w:pStyle w:val="ListParagraph"/>
        <w:numPr>
          <w:ilvl w:val="1"/>
          <w:numId w:val="1"/>
        </w:numPr>
      </w:pPr>
      <w:r>
        <w:t>Remove all probes with a high detection p-value (p &gt; 0.05)</w:t>
      </w:r>
    </w:p>
    <w:p w14:paraId="03CA87F8" w14:textId="6228A257" w:rsidR="00C87C9A" w:rsidRDefault="00C87C9A" w:rsidP="00C87C9A">
      <w:pPr>
        <w:pStyle w:val="ListParagraph"/>
        <w:numPr>
          <w:ilvl w:val="1"/>
          <w:numId w:val="1"/>
        </w:numPr>
      </w:pPr>
      <w:r>
        <w:t xml:space="preserve">Remove cross-reactive </w:t>
      </w:r>
      <w:proofErr w:type="gramStart"/>
      <w:r>
        <w:t>probes</w:t>
      </w:r>
      <w:proofErr w:type="gramEnd"/>
    </w:p>
    <w:p w14:paraId="4BE8DD24" w14:textId="5DC19C98" w:rsidR="00C87C9A" w:rsidRDefault="00C87C9A" w:rsidP="00C87C9A">
      <w:pPr>
        <w:pStyle w:val="ListParagraph"/>
        <w:numPr>
          <w:ilvl w:val="2"/>
          <w:numId w:val="1"/>
        </w:numPr>
      </w:pPr>
      <w:r>
        <w:t>WHICH PACKAGE</w:t>
      </w:r>
    </w:p>
    <w:p w14:paraId="2FA1F06A" w14:textId="67A167E1" w:rsidR="00C87C9A" w:rsidRDefault="00C87C9A" w:rsidP="00C87C9A">
      <w:pPr>
        <w:pStyle w:val="ListParagraph"/>
        <w:numPr>
          <w:ilvl w:val="1"/>
          <w:numId w:val="1"/>
        </w:numPr>
      </w:pPr>
      <w:r>
        <w:t>Remove probes containing common SNPs (likely reflect genotype and not methylation status)</w:t>
      </w:r>
    </w:p>
    <w:p w14:paraId="361B1BD3" w14:textId="61A62696" w:rsidR="00C87C9A" w:rsidRDefault="00C87C9A" w:rsidP="00C87C9A">
      <w:pPr>
        <w:pStyle w:val="ListParagraph"/>
        <w:numPr>
          <w:ilvl w:val="2"/>
          <w:numId w:val="1"/>
        </w:numPr>
      </w:pPr>
      <w:r>
        <w:t>WHICH PACKAGE</w:t>
      </w:r>
    </w:p>
    <w:p w14:paraId="3E233A89" w14:textId="77777777" w:rsidR="005A0809" w:rsidRDefault="005A0809" w:rsidP="005A0809">
      <w:pPr>
        <w:pStyle w:val="ListParagraph"/>
        <w:ind w:left="2160"/>
      </w:pPr>
    </w:p>
    <w:p w14:paraId="2E994867" w14:textId="2BA44146" w:rsidR="00A86B5E" w:rsidRPr="00C87C9A" w:rsidRDefault="00A86B5E" w:rsidP="00A86B5E">
      <w:pPr>
        <w:pStyle w:val="ListParagraph"/>
        <w:numPr>
          <w:ilvl w:val="0"/>
          <w:numId w:val="1"/>
        </w:numPr>
        <w:rPr>
          <w:b/>
          <w:bCs/>
        </w:rPr>
      </w:pPr>
      <w:r w:rsidRPr="00C87C9A">
        <w:rPr>
          <w:b/>
          <w:bCs/>
        </w:rPr>
        <w:t>NORMALIZATION</w:t>
      </w:r>
    </w:p>
    <w:p w14:paraId="27E1584E" w14:textId="5453BEC4" w:rsidR="00C87C9A" w:rsidRPr="00C87C9A" w:rsidRDefault="00C87C9A" w:rsidP="00C87C9A">
      <w:pPr>
        <w:pStyle w:val="ListParagraph"/>
        <w:numPr>
          <w:ilvl w:val="1"/>
          <w:numId w:val="1"/>
        </w:numPr>
        <w:rPr>
          <w:i/>
          <w:iCs/>
        </w:rPr>
      </w:pPr>
      <w:r w:rsidRPr="00C87C9A">
        <w:rPr>
          <w:i/>
          <w:iCs/>
        </w:rPr>
        <w:t>Within-Array Normalization</w:t>
      </w:r>
    </w:p>
    <w:p w14:paraId="5768E701" w14:textId="4BA22E91" w:rsidR="00C87C9A" w:rsidRDefault="00C87C9A" w:rsidP="00C87C9A">
      <w:pPr>
        <w:pStyle w:val="ListParagraph"/>
        <w:numPr>
          <w:ilvl w:val="2"/>
          <w:numId w:val="1"/>
        </w:numPr>
      </w:pPr>
      <w:r>
        <w:t>Use Beta Mixture Quantile normalization (BMIQ) to correct for type I/II bias</w:t>
      </w:r>
    </w:p>
    <w:p w14:paraId="0BD1BCE0" w14:textId="736AC735" w:rsidR="00C87C9A" w:rsidRDefault="00C87C9A" w:rsidP="00C87C9A">
      <w:pPr>
        <w:pStyle w:val="ListParagraph"/>
        <w:numPr>
          <w:ilvl w:val="3"/>
          <w:numId w:val="1"/>
        </w:numPr>
      </w:pPr>
      <w:r>
        <w:t>WHICH PACKAGE</w:t>
      </w:r>
    </w:p>
    <w:p w14:paraId="62692BF8" w14:textId="663CC318" w:rsidR="00C87C9A" w:rsidRDefault="00C87C9A" w:rsidP="00C87C9A">
      <w:pPr>
        <w:pStyle w:val="ListParagraph"/>
        <w:numPr>
          <w:ilvl w:val="2"/>
          <w:numId w:val="1"/>
        </w:numPr>
      </w:pPr>
      <w:r>
        <w:t xml:space="preserve">Use </w:t>
      </w:r>
      <w:proofErr w:type="spellStart"/>
      <w:r>
        <w:t>methylumi</w:t>
      </w:r>
      <w:proofErr w:type="spellEnd"/>
      <w:r>
        <w:t xml:space="preserve"> package to correct for color/ dye bias and background </w:t>
      </w:r>
      <w:proofErr w:type="gramStart"/>
      <w:r>
        <w:t>correction</w:t>
      </w:r>
      <w:proofErr w:type="gramEnd"/>
    </w:p>
    <w:p w14:paraId="44155566" w14:textId="2BE2B488" w:rsidR="00C87C9A" w:rsidRPr="00C87C9A" w:rsidRDefault="00C87C9A" w:rsidP="00C87C9A">
      <w:pPr>
        <w:pStyle w:val="ListParagraph"/>
        <w:numPr>
          <w:ilvl w:val="1"/>
          <w:numId w:val="1"/>
        </w:numPr>
        <w:rPr>
          <w:i/>
          <w:iCs/>
        </w:rPr>
      </w:pPr>
      <w:r w:rsidRPr="00C87C9A">
        <w:rPr>
          <w:i/>
          <w:iCs/>
        </w:rPr>
        <w:t>Between-Array Normalization</w:t>
      </w:r>
    </w:p>
    <w:p w14:paraId="333489F7" w14:textId="3D582162" w:rsidR="00C87C9A" w:rsidRDefault="00C87C9A" w:rsidP="00C87C9A">
      <w:pPr>
        <w:pStyle w:val="ListParagraph"/>
        <w:numPr>
          <w:ilvl w:val="2"/>
          <w:numId w:val="1"/>
        </w:numPr>
      </w:pPr>
      <w:r>
        <w:t xml:space="preserve">Check for batch effects by running a PCA; if batch effects are observed, use </w:t>
      </w:r>
      <w:proofErr w:type="spellStart"/>
      <w:r>
        <w:t>ComBat</w:t>
      </w:r>
      <w:proofErr w:type="spellEnd"/>
      <w:r>
        <w:t xml:space="preserve"> package for batch correction </w:t>
      </w:r>
      <w:proofErr w:type="gramStart"/>
      <w:r>
        <w:t>removal</w:t>
      </w:r>
      <w:proofErr w:type="gramEnd"/>
    </w:p>
    <w:p w14:paraId="2E9A8710" w14:textId="01AEEF06" w:rsidR="00726F90" w:rsidRDefault="00726F90" w:rsidP="00726F90">
      <w:r>
        <w:br/>
        <w:t xml:space="preserve">ALTERNATIVE: Using level 3 methylation data preprocessed using the </w:t>
      </w:r>
      <w:proofErr w:type="spellStart"/>
      <w:r>
        <w:t>LiftOver</w:t>
      </w:r>
      <w:proofErr w:type="spellEnd"/>
      <w:r>
        <w:t xml:space="preserve"> pipeline</w:t>
      </w:r>
    </w:p>
    <w:p w14:paraId="2F145907" w14:textId="72310E34" w:rsidR="00726F90" w:rsidRPr="00726F90" w:rsidRDefault="00726F90" w:rsidP="00726F90">
      <w:pPr>
        <w:pStyle w:val="ListParagraph"/>
        <w:numPr>
          <w:ilvl w:val="0"/>
          <w:numId w:val="4"/>
        </w:numPr>
        <w:rPr>
          <w:b/>
          <w:bCs/>
        </w:rPr>
      </w:pPr>
      <w:r w:rsidRPr="00726F90">
        <w:rPr>
          <w:b/>
          <w:bCs/>
        </w:rPr>
        <w:t>Details</w:t>
      </w:r>
      <w:r>
        <w:rPr>
          <w:b/>
          <w:bCs/>
        </w:rPr>
        <w:t xml:space="preserve"> of Level 3 Data</w:t>
      </w:r>
    </w:p>
    <w:p w14:paraId="5711C8D4" w14:textId="2C8B83AE" w:rsidR="00726F90" w:rsidRDefault="00726F90" w:rsidP="00726F90">
      <w:pPr>
        <w:pStyle w:val="ListParagraph"/>
        <w:numPr>
          <w:ilvl w:val="1"/>
          <w:numId w:val="4"/>
        </w:numPr>
      </w:pPr>
      <w:r>
        <w:t>GRCH38 Reference Genome, hg38</w:t>
      </w:r>
    </w:p>
    <w:p w14:paraId="7F476EEB" w14:textId="1B615C3C" w:rsidR="00726F90" w:rsidRDefault="00726F90" w:rsidP="00726F90">
      <w:pPr>
        <w:pStyle w:val="ListParagraph"/>
        <w:numPr>
          <w:ilvl w:val="1"/>
          <w:numId w:val="4"/>
        </w:numPr>
      </w:pPr>
      <w:r>
        <w:t xml:space="preserve">Use Noob for background correction, Linear Dye Bias Correction (Triche 2013) for Dye-Bias correction, </w:t>
      </w:r>
      <w:proofErr w:type="spellStart"/>
      <w:r>
        <w:t>Methylumi</w:t>
      </w:r>
      <w:proofErr w:type="spellEnd"/>
      <w:r>
        <w:t xml:space="preserve"> v.1.8.0 for preprocessing </w:t>
      </w:r>
      <w:proofErr w:type="gramStart"/>
      <w:r>
        <w:t>implementation</w:t>
      </w:r>
      <w:proofErr w:type="gramEnd"/>
    </w:p>
    <w:p w14:paraId="011C2C30" w14:textId="0B58AA08" w:rsidR="00726F90" w:rsidRDefault="00726F90" w:rsidP="00726F90">
      <w:pPr>
        <w:pStyle w:val="ListParagraph"/>
        <w:numPr>
          <w:ilvl w:val="2"/>
          <w:numId w:val="4"/>
        </w:numPr>
      </w:pPr>
      <w:r>
        <w:t xml:space="preserve">Cross-hybridization masking: Repeat masker overlap with last 15 bp of </w:t>
      </w:r>
      <w:proofErr w:type="gramStart"/>
      <w:r>
        <w:t>probe</w:t>
      </w:r>
      <w:proofErr w:type="gramEnd"/>
    </w:p>
    <w:p w14:paraId="23AC1B35" w14:textId="5AEEF2A6" w:rsidR="00726F90" w:rsidRDefault="00726F90" w:rsidP="00726F90">
      <w:pPr>
        <w:pStyle w:val="ListParagraph"/>
        <w:numPr>
          <w:ilvl w:val="2"/>
          <w:numId w:val="4"/>
        </w:numPr>
      </w:pPr>
      <w:r>
        <w:t xml:space="preserve">SNP-masking: Mask SNP overlap with last 10 bp of </w:t>
      </w:r>
      <w:proofErr w:type="gramStart"/>
      <w:r>
        <w:t>probe</w:t>
      </w:r>
      <w:proofErr w:type="gramEnd"/>
    </w:p>
    <w:p w14:paraId="1BDFB528" w14:textId="4E7BDEEF" w:rsidR="00726F90" w:rsidRDefault="00726F90" w:rsidP="00726F90">
      <w:pPr>
        <w:pStyle w:val="ListParagraph"/>
        <w:numPr>
          <w:ilvl w:val="2"/>
          <w:numId w:val="4"/>
        </w:numPr>
      </w:pPr>
      <w:proofErr w:type="spellStart"/>
      <w:r>
        <w:t>dbSNP</w:t>
      </w:r>
      <w:proofErr w:type="spellEnd"/>
      <w:r>
        <w:t xml:space="preserve"> SNP/INDEL annotation v135</w:t>
      </w:r>
    </w:p>
    <w:p w14:paraId="01244B1F" w14:textId="45CEEBB7" w:rsidR="00726F90" w:rsidRDefault="00726F90" w:rsidP="00726F90">
      <w:pPr>
        <w:pStyle w:val="ListParagraph"/>
        <w:numPr>
          <w:ilvl w:val="2"/>
          <w:numId w:val="4"/>
        </w:numPr>
      </w:pPr>
      <w:r>
        <w:t>P&lt;0.05 negative control probes</w:t>
      </w:r>
    </w:p>
    <w:p w14:paraId="2E35B6EE" w14:textId="53A98C8A" w:rsidR="00726F90" w:rsidRDefault="00726F90" w:rsidP="00726F90">
      <w:pPr>
        <w:pStyle w:val="ListParagraph"/>
        <w:numPr>
          <w:ilvl w:val="1"/>
          <w:numId w:val="4"/>
        </w:numPr>
      </w:pPr>
      <w:r>
        <w:t xml:space="preserve">Make genomic annotations using continuous value for distance to </w:t>
      </w:r>
      <w:proofErr w:type="gramStart"/>
      <w:r>
        <w:t>TSS</w:t>
      </w:r>
      <w:proofErr w:type="gramEnd"/>
    </w:p>
    <w:p w14:paraId="2A816327" w14:textId="2D6DADBF" w:rsidR="00726F90" w:rsidRDefault="00726F90" w:rsidP="00726F90">
      <w:pPr>
        <w:pStyle w:val="ListParagraph"/>
        <w:numPr>
          <w:ilvl w:val="1"/>
          <w:numId w:val="4"/>
        </w:numPr>
      </w:pPr>
      <w:r>
        <w:t xml:space="preserve">Use GENCODE v22 for gene </w:t>
      </w:r>
      <w:proofErr w:type="gramStart"/>
      <w:r>
        <w:t>model</w:t>
      </w:r>
      <w:proofErr w:type="gramEnd"/>
    </w:p>
    <w:p w14:paraId="7905DD4B" w14:textId="77777777" w:rsidR="005A0809" w:rsidRDefault="005A0809" w:rsidP="005A0809">
      <w:pPr>
        <w:pStyle w:val="ListParagraph"/>
        <w:ind w:left="2160"/>
      </w:pPr>
    </w:p>
    <w:p w14:paraId="46ADFDC0" w14:textId="32BB53CD" w:rsidR="00A86B5E" w:rsidRPr="005A0809" w:rsidRDefault="00A86B5E" w:rsidP="00A86B5E">
      <w:pPr>
        <w:pStyle w:val="ListParagraph"/>
        <w:numPr>
          <w:ilvl w:val="0"/>
          <w:numId w:val="1"/>
        </w:numPr>
        <w:rPr>
          <w:b/>
          <w:bCs/>
        </w:rPr>
      </w:pPr>
      <w:r w:rsidRPr="005A0809">
        <w:rPr>
          <w:b/>
          <w:bCs/>
        </w:rPr>
        <w:t>DIFFERENTIAL METHYLATION CALCULATION</w:t>
      </w:r>
    </w:p>
    <w:p w14:paraId="578AB544" w14:textId="6BBBC0F7" w:rsidR="00C87C9A" w:rsidRDefault="00C87C9A" w:rsidP="00C87C9A">
      <w:pPr>
        <w:pStyle w:val="ListParagraph"/>
        <w:numPr>
          <w:ilvl w:val="1"/>
          <w:numId w:val="1"/>
        </w:numPr>
      </w:pPr>
      <w:r>
        <w:t xml:space="preserve">Use the M-model-M-mean setup to calculate </w:t>
      </w:r>
      <w:proofErr w:type="gramStart"/>
      <w:r>
        <w:rPr>
          <w:rFonts w:cstheme="minorHAnsi"/>
        </w:rPr>
        <w:t>Δβ</w:t>
      </w:r>
      <w:proofErr w:type="gramEnd"/>
      <w:r>
        <w:t xml:space="preserve"> </w:t>
      </w:r>
    </w:p>
    <w:p w14:paraId="1CE6A2AB" w14:textId="0819D1D7" w:rsidR="005A0809" w:rsidRPr="005A0809" w:rsidRDefault="005A0809" w:rsidP="005A0809">
      <w:pPr>
        <w:pStyle w:val="ListParagraph"/>
        <w:numPr>
          <w:ilvl w:val="2"/>
          <w:numId w:val="1"/>
        </w:numPr>
      </w:pPr>
      <w:r>
        <w:t xml:space="preserve">From the </w:t>
      </w:r>
      <w:r>
        <w:rPr>
          <w:rFonts w:cstheme="minorHAnsi"/>
        </w:rPr>
        <w:t>β-value, calculate the M-</w:t>
      </w:r>
      <w:proofErr w:type="gramStart"/>
      <w:r>
        <w:rPr>
          <w:rFonts w:cstheme="minorHAnsi"/>
        </w:rPr>
        <w:t>value</w:t>
      </w:r>
      <w:proofErr w:type="gramEnd"/>
      <w:r>
        <w:rPr>
          <w:rFonts w:cstheme="minorHAnsi"/>
        </w:rPr>
        <w:t xml:space="preserve"> </w:t>
      </w:r>
    </w:p>
    <w:p w14:paraId="6193D9C7" w14:textId="304FD63D" w:rsidR="005A0809" w:rsidRPr="005A0809" w:rsidRDefault="005A0809" w:rsidP="005A0809">
      <w:pPr>
        <w:pStyle w:val="ListParagraph"/>
        <w:numPr>
          <w:ilvl w:val="3"/>
          <w:numId w:val="1"/>
        </w:numPr>
      </w:pPr>
      <m:oMath>
        <m:r>
          <w:rPr>
            <w:rFonts w:ascii="Cambria Math" w:hAnsi="Cambria Math"/>
          </w:rPr>
          <m:t>M=</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f>
                  <m:fPr>
                    <m:ctrlPr>
                      <w:rPr>
                        <w:rFonts w:ascii="Cambria Math" w:hAnsi="Cambria Math"/>
                        <w:i/>
                      </w:rPr>
                    </m:ctrlPr>
                  </m:fPr>
                  <m:num>
                    <m:r>
                      <m:rPr>
                        <m:sty m:val="p"/>
                      </m:rPr>
                      <w:rPr>
                        <w:rFonts w:ascii="Cambria Math" w:hAnsi="Cambria Math" w:cstheme="minorHAnsi"/>
                      </w:rPr>
                      <m:t>β</m:t>
                    </m:r>
                  </m:num>
                  <m:den>
                    <m:r>
                      <w:rPr>
                        <w:rFonts w:ascii="Cambria Math" w:hAnsi="Cambria Math"/>
                      </w:rPr>
                      <m:t>1-</m:t>
                    </m:r>
                    <m:r>
                      <m:rPr>
                        <m:sty m:val="p"/>
                      </m:rPr>
                      <w:rPr>
                        <w:rFonts w:ascii="Cambria Math" w:hAnsi="Cambria Math" w:cstheme="minorHAnsi"/>
                      </w:rPr>
                      <m:t>β</m:t>
                    </m:r>
                  </m:den>
                </m:f>
              </m:e>
            </m:d>
          </m:e>
        </m:func>
      </m:oMath>
    </w:p>
    <w:p w14:paraId="01DABBA1" w14:textId="6FFE22C1" w:rsidR="005A0809" w:rsidRPr="005A0809" w:rsidRDefault="005A0809" w:rsidP="005A0809">
      <w:pPr>
        <w:pStyle w:val="ListParagraph"/>
        <w:numPr>
          <w:ilvl w:val="2"/>
          <w:numId w:val="1"/>
        </w:numPr>
      </w:pPr>
      <w:r>
        <w:t xml:space="preserve">Calculate </w:t>
      </w:r>
      <w:r>
        <w:rPr>
          <w:rFonts w:cstheme="minorHAnsi"/>
        </w:rPr>
        <w:t>ΔM as M(tumor) – M(normal)</w:t>
      </w:r>
    </w:p>
    <w:p w14:paraId="038848A4" w14:textId="7F8B08C2" w:rsidR="005A0809" w:rsidRPr="00027C25" w:rsidRDefault="005A0809" w:rsidP="005A0809">
      <w:pPr>
        <w:pStyle w:val="ListParagraph"/>
        <w:numPr>
          <w:ilvl w:val="2"/>
          <w:numId w:val="1"/>
        </w:numPr>
      </w:pPr>
      <w:r>
        <w:t xml:space="preserve">Calculate </w:t>
      </w:r>
      <m:oMath>
        <m:sSub>
          <m:sSubPr>
            <m:ctrlPr>
              <w:rPr>
                <w:rFonts w:ascii="Cambria Math" w:hAnsi="Cambria Math"/>
                <w:i/>
              </w:rPr>
            </m:ctrlPr>
          </m:sSubPr>
          <m:e>
            <m:r>
              <w:rPr>
                <w:rFonts w:ascii="Cambria Math" w:hAnsi="Cambria Math"/>
              </w:rPr>
              <m:t>M</m:t>
            </m:r>
          </m:e>
          <m:sub>
            <m:r>
              <w:rPr>
                <w:rFonts w:ascii="Cambria Math" w:hAnsi="Cambria Math"/>
              </w:rPr>
              <m:t>0</m:t>
            </m:r>
          </m:sub>
        </m:sSub>
      </m:oMath>
      <w:r>
        <w:rPr>
          <w:rFonts w:eastAsiaTheme="minorEastAsia"/>
        </w:rPr>
        <w:t xml:space="preserve"> as the mean of M-</w:t>
      </w:r>
      <w:proofErr w:type="gramStart"/>
      <w:r>
        <w:rPr>
          <w:rFonts w:eastAsiaTheme="minorEastAsia"/>
        </w:rPr>
        <w:t>values</w:t>
      </w:r>
      <w:proofErr w:type="gramEnd"/>
    </w:p>
    <w:p w14:paraId="13DBE913" w14:textId="254D4362" w:rsidR="00027C25" w:rsidRPr="00027C25" w:rsidRDefault="000A786B" w:rsidP="00027C25">
      <w:pPr>
        <w:pStyle w:val="ListParagraph"/>
        <w:numPr>
          <w:ilvl w:val="3"/>
          <w:numId w:val="1"/>
        </w:numPr>
      </w:pPr>
      <w:r>
        <w:rPr>
          <w:rFonts w:eastAsiaTheme="minorEastAsia"/>
        </w:rPr>
        <w:t>All M-values across both samples?</w:t>
      </w:r>
    </w:p>
    <w:p w14:paraId="5840EBA2" w14:textId="08438F75" w:rsidR="00027C25" w:rsidRDefault="00027C25" w:rsidP="00027C25">
      <w:pPr>
        <w:pStyle w:val="ListParagraph"/>
        <w:numPr>
          <w:ilvl w:val="2"/>
          <w:numId w:val="1"/>
        </w:numPr>
      </w:pPr>
      <w:r>
        <w:rPr>
          <w:rFonts w:eastAsiaTheme="minorEastAsia"/>
        </w:rPr>
        <w:t xml:space="preserve">From there, calculate </w:t>
      </w:r>
      <w:r>
        <w:rPr>
          <w:rFonts w:cstheme="minorHAnsi"/>
        </w:rPr>
        <w:t xml:space="preserve">Δβ as </w:t>
      </w:r>
      <m:oMath>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r>
                  <m:rPr>
                    <m:sty m:val="p"/>
                  </m:rPr>
                  <w:rPr>
                    <w:rFonts w:ascii="Cambria Math" w:hAnsi="Cambria Math" w:cstheme="minorHAnsi"/>
                  </w:rPr>
                  <m:t>ΔM</m:t>
                </m:r>
                <m:r>
                  <m:rPr>
                    <m:sty m:val="p"/>
                  </m:rPr>
                  <w:rPr>
                    <w:rFonts w:ascii="Cambria Math" w:cstheme="minorHAnsi"/>
                  </w:rPr>
                  <m:t>)</m:t>
                </m:r>
              </m:sup>
            </m:sSup>
          </m:num>
          <m:den>
            <m:r>
              <w:rPr>
                <w:rFonts w:ascii="Cambria Math" w:hAnsi="Cambria Math" w:cstheme="minorHAnsi"/>
              </w:rPr>
              <m:t xml:space="preserve">1+ </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r>
                  <m:rPr>
                    <m:sty m:val="p"/>
                  </m:rPr>
                  <w:rPr>
                    <w:rFonts w:ascii="Cambria Math" w:hAnsi="Cambria Math" w:cstheme="minorHAnsi"/>
                  </w:rPr>
                  <m:t>ΔM</m:t>
                </m:r>
                <m:r>
                  <m:rPr>
                    <m:sty m:val="p"/>
                  </m:rPr>
                  <w:rPr>
                    <w:rFonts w:ascii="Cambria Math" w:cstheme="minorHAnsi"/>
                  </w:rPr>
                  <m:t>)</m:t>
                </m:r>
              </m:sup>
            </m:sSup>
          </m:den>
        </m:f>
        <m:r>
          <w:rPr>
            <w:rFonts w:ascii="Cambria Math" w:hAnsi="Cambria Math" w:cstheme="minorHAnsi"/>
          </w:rPr>
          <m:t>-</m:t>
        </m:r>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2</m:t>
                </m:r>
              </m:e>
              <m:sup>
                <m:sSub>
                  <m:sSubPr>
                    <m:ctrlPr>
                      <w:rPr>
                        <w:rFonts w:ascii="Cambria Math" w:hAnsi="Cambria Math"/>
                        <w:i/>
                      </w:rPr>
                    </m:ctrlPr>
                  </m:sSubPr>
                  <m:e>
                    <m:r>
                      <w:rPr>
                        <w:rFonts w:ascii="Cambria Math" w:hAnsi="Cambria Math"/>
                      </w:rPr>
                      <m:t>M</m:t>
                    </m:r>
                  </m:e>
                  <m:sub>
                    <m:r>
                      <w:rPr>
                        <w:rFonts w:ascii="Cambria Math" w:hAnsi="Cambria Math"/>
                      </w:rPr>
                      <m:t>0</m:t>
                    </m:r>
                  </m:sub>
                </m:sSub>
              </m:sup>
            </m:sSup>
          </m:num>
          <m:den>
            <m:r>
              <w:rPr>
                <w:rFonts w:ascii="Cambria Math" w:hAnsi="Cambria Math" w:cstheme="minorHAnsi"/>
              </w:rPr>
              <m:t xml:space="preserve">1+ </m:t>
            </m:r>
            <m:sSup>
              <m:sSupPr>
                <m:ctrlPr>
                  <w:rPr>
                    <w:rFonts w:ascii="Cambria Math" w:hAnsi="Cambria Math" w:cstheme="minorHAnsi"/>
                    <w:i/>
                  </w:rPr>
                </m:ctrlPr>
              </m:sSupPr>
              <m:e>
                <m:r>
                  <w:rPr>
                    <w:rFonts w:ascii="Cambria Math" w:hAnsi="Cambria Math" w:cstheme="minorHAnsi"/>
                  </w:rPr>
                  <m:t>2</m:t>
                </m:r>
              </m:e>
              <m:sup>
                <m:sSub>
                  <m:sSubPr>
                    <m:ctrlPr>
                      <w:rPr>
                        <w:rFonts w:ascii="Cambria Math" w:hAnsi="Cambria Math"/>
                        <w:i/>
                      </w:rPr>
                    </m:ctrlPr>
                  </m:sSubPr>
                  <m:e>
                    <m:r>
                      <w:rPr>
                        <w:rFonts w:ascii="Cambria Math" w:hAnsi="Cambria Math"/>
                      </w:rPr>
                      <m:t>M</m:t>
                    </m:r>
                  </m:e>
                  <m:sub>
                    <m:r>
                      <w:rPr>
                        <w:rFonts w:ascii="Cambria Math" w:hAnsi="Cambria Math"/>
                      </w:rPr>
                      <m:t>0</m:t>
                    </m:r>
                  </m:sub>
                </m:sSub>
              </m:sup>
            </m:sSup>
          </m:den>
        </m:f>
      </m:oMath>
    </w:p>
    <w:p w14:paraId="74F499C6" w14:textId="45EAAB98" w:rsidR="00A86B5E" w:rsidRDefault="00A86B5E" w:rsidP="00A86B5E"/>
    <w:p w14:paraId="56C5B56B" w14:textId="73360A6A" w:rsidR="00A86B5E" w:rsidRDefault="00E96D24" w:rsidP="00A86B5E">
      <w:r w:rsidRPr="00E96D24">
        <w:rPr>
          <w:b/>
          <w:bCs/>
          <w:u w:val="single"/>
        </w:rPr>
        <w:t>Notes:</w:t>
      </w:r>
      <w:r>
        <w:t xml:space="preserve"> </w:t>
      </w:r>
      <w:r w:rsidRPr="00E96D24">
        <w:t>the processing of raw data to Level 3 methylation (a.k.a. “beta”) values was not altered, and thus methylation beta values for individual probes were identical between the hg19 and hg38 versions.</w:t>
      </w:r>
      <w:r>
        <w:t xml:space="preserve"> </w:t>
      </w:r>
      <w:r w:rsidRPr="00E96D24">
        <w:t>The major consequence of the probe remapping was the invalidating of a relatively small number of probes that no longer had a uniquely identifiable location in the hg38 genome (2.0% of probes for the HM27 array and 1.1% of probes for the HM450 array)</w:t>
      </w:r>
    </w:p>
    <w:p w14:paraId="6105AF2D" w14:textId="321E372D" w:rsidR="00A86B5E" w:rsidRDefault="00A86B5E" w:rsidP="00A86B5E"/>
    <w:p w14:paraId="4C378D6B" w14:textId="0A44B053" w:rsidR="00A86B5E" w:rsidRPr="00A86B5E" w:rsidRDefault="00A86B5E" w:rsidP="00A86B5E">
      <w:pPr>
        <w:rPr>
          <w:b/>
          <w:bCs/>
        </w:rPr>
      </w:pPr>
      <w:r w:rsidRPr="00A86B5E">
        <w:rPr>
          <w:b/>
          <w:bCs/>
        </w:rPr>
        <w:t>Literature Referenced:</w:t>
      </w:r>
    </w:p>
    <w:p w14:paraId="082D2697" w14:textId="517C60B3" w:rsidR="00A86B5E" w:rsidRDefault="00A86B5E" w:rsidP="00A86B5E">
      <w:pPr>
        <w:pStyle w:val="ListParagraph"/>
        <w:numPr>
          <w:ilvl w:val="0"/>
          <w:numId w:val="2"/>
        </w:numPr>
      </w:pPr>
      <w:r>
        <w:t>A comprehensive overview of Infinium HumanMethylation450 data processing (</w:t>
      </w:r>
      <w:proofErr w:type="spellStart"/>
      <w:r>
        <w:t>Dedeurwaerder</w:t>
      </w:r>
      <w:proofErr w:type="spellEnd"/>
      <w:r>
        <w:t xml:space="preserve"> et al, 2013); for filtering and normalization</w:t>
      </w:r>
    </w:p>
    <w:p w14:paraId="2B968650" w14:textId="6C7A45C6" w:rsidR="00A86B5E" w:rsidRDefault="00A86B5E" w:rsidP="00A86B5E">
      <w:pPr>
        <w:pStyle w:val="ListParagraph"/>
        <w:numPr>
          <w:ilvl w:val="0"/>
          <w:numId w:val="2"/>
        </w:numPr>
      </w:pPr>
      <w:r>
        <w:t xml:space="preserve">Differential methylation values in differential methylation analysis (Xie et al, 2019); for differential methylation </w:t>
      </w:r>
      <w:r w:rsidR="005A0809">
        <w:t>calculation</w:t>
      </w:r>
    </w:p>
    <w:p w14:paraId="29D3BBC9" w14:textId="46C6E0B1" w:rsidR="000C713A" w:rsidRDefault="000C713A" w:rsidP="000C713A"/>
    <w:p w14:paraId="56A6C6BC" w14:textId="08A3A315" w:rsidR="000C713A" w:rsidRPr="000C713A" w:rsidRDefault="000C713A" w:rsidP="000C713A">
      <w:pPr>
        <w:rPr>
          <w:b/>
          <w:bCs/>
        </w:rPr>
      </w:pPr>
      <w:r w:rsidRPr="000C713A">
        <w:rPr>
          <w:b/>
          <w:bCs/>
        </w:rPr>
        <w:t>Other Strategies:</w:t>
      </w:r>
    </w:p>
    <w:p w14:paraId="08B41401" w14:textId="18D87C4F" w:rsidR="000C713A" w:rsidRDefault="000C713A" w:rsidP="000C713A">
      <w:pPr>
        <w:pStyle w:val="ListParagraph"/>
        <w:numPr>
          <w:ilvl w:val="0"/>
          <w:numId w:val="5"/>
        </w:numPr>
      </w:pPr>
      <w:r>
        <w:t>“</w:t>
      </w:r>
      <w:r w:rsidRPr="000C713A">
        <w:t xml:space="preserve">In calculating the ratio of hyper/hypo-methylated </w:t>
      </w:r>
      <w:proofErr w:type="spellStart"/>
      <w:r w:rsidRPr="000C713A">
        <w:t>CpGs</w:t>
      </w:r>
      <w:proofErr w:type="spellEnd"/>
      <w:r w:rsidRPr="000C713A">
        <w:t xml:space="preserve"> of the tumor and normal samples, the methylation </w:t>
      </w:r>
      <w:proofErr w:type="gramStart"/>
      <w:r w:rsidRPr="000C713A">
        <w:t>value(</w:t>
      </w:r>
      <w:proofErr w:type="gramEnd"/>
      <w:r w:rsidRPr="000C713A">
        <w:t>ranging from 0(totally unmethylated) to 1(totally methylated)) larger than 0.7 was defined as hyper-methylation, and the value less than 0.3 was defined as hypo-methylation. For comparison, the ratios of hyper/</w:t>
      </w:r>
      <w:proofErr w:type="gramStart"/>
      <w:r w:rsidRPr="000C713A">
        <w:t>hypo-methylated</w:t>
      </w:r>
      <w:proofErr w:type="gramEnd"/>
      <w:r w:rsidRPr="000C713A">
        <w:t xml:space="preserve"> </w:t>
      </w:r>
      <w:proofErr w:type="spellStart"/>
      <w:r w:rsidRPr="000C713A">
        <w:t>CpGs</w:t>
      </w:r>
      <w:proofErr w:type="spellEnd"/>
      <w:r w:rsidRPr="000C713A">
        <w:t xml:space="preserve"> of WGBS data of lung cancers were calculated.</w:t>
      </w:r>
      <w:r>
        <w:t xml:space="preserve"> </w:t>
      </w:r>
      <w:r w:rsidRPr="000C713A">
        <w:t xml:space="preserve">We compared the methylation levels of each CpG between tumor samples and the corresponding normal sample </w:t>
      </w:r>
      <w:proofErr w:type="gramStart"/>
      <w:r w:rsidRPr="000C713A">
        <w:t>data, and</w:t>
      </w:r>
      <w:proofErr w:type="gramEnd"/>
      <w:r w:rsidRPr="000C713A">
        <w:t xml:space="preserve"> defined a CpG site to be differentially methylated (DML) if the q-value of t-test &lt; 0.05 and the absolute difference of methylation value &gt; 0.1. We considered genes whose promoters contain any CpG covered by the original or the expanded methylation data. To identify the genes differentially methylated in each cancer, the methylation status of all the CpG sites covered in promoters were considered. For each promoter, the Fisher’s combined test was used to get the q-value to evaluate whether a gene is differentially methylated. </w:t>
      </w:r>
      <w:proofErr w:type="gramStart"/>
      <w:r w:rsidRPr="000C713A">
        <w:t>Similar to</w:t>
      </w:r>
      <w:proofErr w:type="gramEnd"/>
      <w:r w:rsidRPr="000C713A">
        <w:t xml:space="preserve"> call DMLs, genes with q-value &lt; 0.05 and mean difference of DNA methylation &gt;0.1 were selected as differentially methylated genes (DMGs).</w:t>
      </w:r>
      <w:r>
        <w:t>” (</w:t>
      </w:r>
      <w:hyperlink r:id="rId5" w:history="1">
        <w:r w:rsidRPr="005C6A25">
          <w:rPr>
            <w:rStyle w:val="Hyperlink"/>
          </w:rPr>
          <w:t>https://www.nature.com/articles/s41525-019-0077-8#Sec11</w:t>
        </w:r>
      </w:hyperlink>
      <w:r>
        <w:t>)</w:t>
      </w:r>
    </w:p>
    <w:p w14:paraId="1ED2411D" w14:textId="77777777" w:rsidR="000C713A" w:rsidRDefault="000C713A" w:rsidP="000C713A">
      <w:pPr>
        <w:pStyle w:val="ListParagraph"/>
        <w:numPr>
          <w:ilvl w:val="0"/>
          <w:numId w:val="5"/>
        </w:numPr>
      </w:pPr>
      <w:r>
        <w:t xml:space="preserve">DORGE (2020) used </w:t>
      </w:r>
      <w:proofErr w:type="spellStart"/>
      <w:r>
        <w:t>Used</w:t>
      </w:r>
      <w:proofErr w:type="spellEnd"/>
      <w:r>
        <w:t xml:space="preserve"> two differential methylation features:</w:t>
      </w:r>
    </w:p>
    <w:p w14:paraId="0318BC1F" w14:textId="77777777" w:rsidR="000C713A" w:rsidRDefault="000C713A" w:rsidP="000C713A">
      <w:pPr>
        <w:pStyle w:val="ListParagraph"/>
        <w:numPr>
          <w:ilvl w:val="1"/>
          <w:numId w:val="5"/>
        </w:numPr>
      </w:pPr>
      <w:r>
        <w:t xml:space="preserve">Mean methylation level (Beta </w:t>
      </w:r>
      <w:proofErr w:type="gramStart"/>
      <w:r>
        <w:t>value)  in</w:t>
      </w:r>
      <w:proofErr w:type="gramEnd"/>
      <w:r>
        <w:t xml:space="preserve"> cancer samples minus that of normal samples, using 450K sequencing data</w:t>
      </w:r>
    </w:p>
    <w:p w14:paraId="343AF886" w14:textId="7958F159" w:rsidR="000C713A" w:rsidRDefault="000C713A" w:rsidP="000C713A">
      <w:pPr>
        <w:pStyle w:val="ListParagraph"/>
        <w:numPr>
          <w:ilvl w:val="1"/>
          <w:numId w:val="5"/>
        </w:numPr>
      </w:pPr>
      <w:r>
        <w:t>Methylation ratio (mean methylation value cancer / mean methylation value normal)</w:t>
      </w:r>
    </w:p>
    <w:p w14:paraId="686A3DDB" w14:textId="44376699" w:rsidR="000C713A" w:rsidRDefault="000C713A" w:rsidP="000C713A">
      <w:pPr>
        <w:pStyle w:val="ListParagraph"/>
        <w:numPr>
          <w:ilvl w:val="0"/>
          <w:numId w:val="5"/>
        </w:numPr>
      </w:pPr>
      <w:r>
        <w:t>SQN simply considers a probe as DMP if the absolute value of the difference between β-value medians of paired samples is higher than 0.2:</w:t>
      </w:r>
    </w:p>
    <w:p w14:paraId="642FDB5E" w14:textId="1C67D486" w:rsidR="000C713A" w:rsidRDefault="000C713A" w:rsidP="000C713A">
      <w:pPr>
        <w:pStyle w:val="ListParagraph"/>
        <w:numPr>
          <w:ilvl w:val="1"/>
          <w:numId w:val="5"/>
        </w:numPr>
      </w:pPr>
      <w:r>
        <w:rPr>
          <w:rFonts w:ascii="Cambria Math" w:hAnsi="Cambria Math" w:cs="Cambria Math"/>
        </w:rPr>
        <w:t>∣∣</w:t>
      </w:r>
      <w:r>
        <w:t>median(</w:t>
      </w:r>
      <w:r>
        <w:rPr>
          <w:rFonts w:ascii="Calibri" w:hAnsi="Calibri" w:cs="Calibri"/>
        </w:rPr>
        <w:t>β</w:t>
      </w:r>
      <w:r>
        <w:t>N</w:t>
      </w:r>
      <w:proofErr w:type="gramStart"/>
      <w:r>
        <w:t>1,</w:t>
      </w:r>
      <w:r>
        <w:rPr>
          <w:rFonts w:ascii="Calibri" w:hAnsi="Calibri" w:cs="Calibri"/>
        </w:rPr>
        <w:t>…</w:t>
      </w:r>
      <w:proofErr w:type="gramEnd"/>
      <w:r>
        <w:t>,</w:t>
      </w:r>
      <w:r>
        <w:rPr>
          <w:rFonts w:ascii="Calibri" w:hAnsi="Calibri" w:cs="Calibri"/>
        </w:rPr>
        <w:t>β</w:t>
      </w:r>
      <w:proofErr w:type="spellStart"/>
      <w:r>
        <w:t>Nn</w:t>
      </w:r>
      <w:proofErr w:type="spellEnd"/>
      <w:r>
        <w:t>)</w:t>
      </w:r>
      <w:r>
        <w:rPr>
          <w:rFonts w:ascii="Calibri" w:hAnsi="Calibri" w:cs="Calibri"/>
        </w:rPr>
        <w:t>−</w:t>
      </w:r>
      <w:r>
        <w:t>median(</w:t>
      </w:r>
      <w:r>
        <w:rPr>
          <w:rFonts w:ascii="Calibri" w:hAnsi="Calibri" w:cs="Calibri"/>
        </w:rPr>
        <w:t>β</w:t>
      </w:r>
      <w:r>
        <w:t>T1,</w:t>
      </w:r>
      <w:r>
        <w:rPr>
          <w:rFonts w:ascii="Calibri" w:hAnsi="Calibri" w:cs="Calibri"/>
        </w:rPr>
        <w:t>…</w:t>
      </w:r>
      <w:r>
        <w:t>,</w:t>
      </w:r>
      <w:r>
        <w:rPr>
          <w:rFonts w:ascii="Calibri" w:hAnsi="Calibri" w:cs="Calibri"/>
        </w:rPr>
        <w:t>β</w:t>
      </w:r>
      <w:r>
        <w:t>Tn)</w:t>
      </w:r>
      <w:r>
        <w:rPr>
          <w:rFonts w:ascii="Cambria Math" w:hAnsi="Cambria Math" w:cs="Cambria Math"/>
        </w:rPr>
        <w:t>∣∣</w:t>
      </w:r>
      <w:r>
        <w:rPr>
          <w:rFonts w:ascii="Calibri" w:hAnsi="Calibri" w:cs="Calibri"/>
        </w:rPr>
        <w:t>≥</w:t>
      </w:r>
      <w:r>
        <w:t>0.2</w:t>
      </w:r>
    </w:p>
    <w:p w14:paraId="5650E375" w14:textId="663D4109" w:rsidR="000C713A" w:rsidRDefault="000C713A" w:rsidP="000C713A">
      <w:pPr>
        <w:pStyle w:val="ListParagraph"/>
        <w:numPr>
          <w:ilvl w:val="1"/>
          <w:numId w:val="5"/>
        </w:numPr>
      </w:pPr>
      <w:r w:rsidRPr="000C713A">
        <w:t>Generally, DMRs are detected by applying various statistical techniques such as Fisher’s exact test [26, 27], t-test [27], Wilcoxon rank sum test [28] or different regression models [29–31].</w:t>
      </w:r>
      <w:r>
        <w:t xml:space="preserve"> (</w:t>
      </w:r>
      <w:hyperlink r:id="rId6" w:history="1">
        <w:r w:rsidRPr="005C6A25">
          <w:rPr>
            <w:rStyle w:val="Hyperlink"/>
          </w:rPr>
          <w:t>https://bmcbioinformatics.biomedcentral.com/articles/10.1186/s12859-018-2096-3</w:t>
        </w:r>
      </w:hyperlink>
      <w:r>
        <w:t>)</w:t>
      </w:r>
    </w:p>
    <w:p w14:paraId="13BB99E6" w14:textId="77777777" w:rsidR="000C713A" w:rsidRDefault="000C713A" w:rsidP="000C713A">
      <w:pPr>
        <w:pStyle w:val="ListParagraph"/>
        <w:numPr>
          <w:ilvl w:val="0"/>
          <w:numId w:val="5"/>
        </w:numPr>
      </w:pPr>
    </w:p>
    <w:sectPr w:rsidR="000C71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5FAE"/>
    <w:multiLevelType w:val="hybridMultilevel"/>
    <w:tmpl w:val="CA86F9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5867B6"/>
    <w:multiLevelType w:val="hybridMultilevel"/>
    <w:tmpl w:val="3F784C68"/>
    <w:lvl w:ilvl="0" w:tplc="70A4AC3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A75E5C"/>
    <w:multiLevelType w:val="hybridMultilevel"/>
    <w:tmpl w:val="908CCD18"/>
    <w:lvl w:ilvl="0" w:tplc="70A4AC3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005348"/>
    <w:multiLevelType w:val="hybridMultilevel"/>
    <w:tmpl w:val="746E10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9B4EFE"/>
    <w:multiLevelType w:val="hybridMultilevel"/>
    <w:tmpl w:val="FA309046"/>
    <w:lvl w:ilvl="0" w:tplc="017893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B5E"/>
    <w:rsid w:val="00015249"/>
    <w:rsid w:val="00027C25"/>
    <w:rsid w:val="000A1A4F"/>
    <w:rsid w:val="000A786B"/>
    <w:rsid w:val="000C713A"/>
    <w:rsid w:val="005A0809"/>
    <w:rsid w:val="00726F90"/>
    <w:rsid w:val="00A86B5E"/>
    <w:rsid w:val="00C87C9A"/>
    <w:rsid w:val="00DC2BEE"/>
    <w:rsid w:val="00E96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027A5"/>
  <w15:chartTrackingRefBased/>
  <w15:docId w15:val="{4022A26A-3EAE-44C6-B448-1B05F4F26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B5E"/>
    <w:pPr>
      <w:ind w:left="720"/>
      <w:contextualSpacing/>
    </w:pPr>
  </w:style>
  <w:style w:type="character" w:styleId="PlaceholderText">
    <w:name w:val="Placeholder Text"/>
    <w:basedOn w:val="DefaultParagraphFont"/>
    <w:uiPriority w:val="99"/>
    <w:semiHidden/>
    <w:rsid w:val="005A0809"/>
    <w:rPr>
      <w:color w:val="808080"/>
    </w:rPr>
  </w:style>
  <w:style w:type="character" w:styleId="Hyperlink">
    <w:name w:val="Hyperlink"/>
    <w:basedOn w:val="DefaultParagraphFont"/>
    <w:uiPriority w:val="99"/>
    <w:unhideWhenUsed/>
    <w:rsid w:val="00027C25"/>
    <w:rPr>
      <w:color w:val="0000FF"/>
      <w:u w:val="single"/>
    </w:rPr>
  </w:style>
  <w:style w:type="character" w:styleId="UnresolvedMention">
    <w:name w:val="Unresolved Mention"/>
    <w:basedOn w:val="DefaultParagraphFont"/>
    <w:uiPriority w:val="99"/>
    <w:semiHidden/>
    <w:unhideWhenUsed/>
    <w:rsid w:val="000C71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mcbioinformatics.biomedcentral.com/articles/10.1186/s12859-018-2096-3" TargetMode="External"/><Relationship Id="rId5" Type="http://schemas.openxmlformats.org/officeDocument/2006/relationships/hyperlink" Target="https://www.nature.com/articles/s41525-019-0077-8#Sec1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10733</TotalTime>
  <Pages>2</Pages>
  <Words>670</Words>
  <Characters>3822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Camilli</dc:creator>
  <cp:keywords/>
  <dc:description/>
  <cp:lastModifiedBy>Sara Camilli</cp:lastModifiedBy>
  <cp:revision>4</cp:revision>
  <dcterms:created xsi:type="dcterms:W3CDTF">2021-04-08T12:49:00Z</dcterms:created>
  <dcterms:modified xsi:type="dcterms:W3CDTF">2021-07-02T17:49:00Z</dcterms:modified>
</cp:coreProperties>
</file>