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48"/>
        </w:rPr>
        <w:t>ORTHONEX INDIA</w:t>
      </w:r>
    </w:p>
    <w:p>
      <w:pPr>
        <w:jc w:val="center"/>
      </w:pPr>
      <w:r>
        <w:rPr>
          <w:rFonts w:ascii="Arial" w:hAnsi="Arial"/>
          <w:b/>
          <w:color w:val="0D9488"/>
          <w:sz w:val="26"/>
        </w:rPr>
        <w:t>AI-Powered Multimodal Knee Osteoarthritis Screening &amp; Frontline Tele-Orthopedic Triage Platform</w:t>
      </w:r>
    </w:p>
    <w:p>
      <w:pPr>
        <w:jc w:val="center"/>
      </w:pPr>
      <w:r>
        <w:rPr>
          <w:rFonts w:ascii="Calibri" w:hAnsi="Calibri"/>
          <w:i/>
          <w:color w:val="6B7280"/>
          <w:sz w:val="19"/>
        </w:rPr>
        <w:t>Project Brief &amp; Technical Dossier for National Science &amp; Tech Expo / Hackathon Evaluation</w:t>
        <w:br/>
        <w:t>Repository: github.com/SinghArshmeet/oa-screening | Cloud DB: Supabase PostgreSQL | Framework: React + FastAPI</w:t>
      </w:r>
    </w:p>
    <w:p>
      <w:pPr>
        <w:spacing w:after="120"/>
      </w:pPr>
    </w:p>
    <w:p>
      <w:pPr>
        <w:pStyle w:val="Heading1"/>
      </w:pPr>
      <w:r>
        <w:t>1. Executive Summary &amp; Problem Statement</w:t>
      </w:r>
    </w:p>
    <w:p>
      <w:r>
        <w:t>Knee Osteoarthritis (OA) affects more than 65 million individuals across India, representing one of the highest contributors to chronic adult mobility loss, occupational disability, and socio-economic burden. In semi-urban and rural areas—especially across agrarian and primary health centers—specialist orthopedic density drops below 1 per 100,000 population. As a consequence, over 70% of frontline patients present at advanced stages (Kellgren-Lawrence Grade 3 or 4) where the only viable intervention is irreversible, costly total joint replacement surgery.</w:t>
      </w:r>
    </w:p>
    <w:p>
      <w:r>
        <w:t>OrthoNex India solves this critical diagnostic bottleneck by delivering an intelligent, zero-cost-hardware frontline screening studio. Running on commodity tablets, laptops, or smartphones via standard web browsers, OrthoNex combines real-time optical computer vision gait kinematics, validated clinical biomarkers, bone mineral density assessment, and radiographic AI into a single unified clinical triage system aligned with ICMR guidelines.</w:t>
      </w:r>
    </w:p>
    <w:tbl>
      <w:tblPr>
        <w:tblW w:type="auto" w:w="0"/>
        <w:jc w:val="center"/>
        <w:tblLook w:firstColumn="1" w:firstRow="1" w:lastColumn="0" w:lastRow="0" w:noHBand="0" w:noVBand="1" w:val="04A0"/>
      </w:tblPr>
      <w:tblGrid>
        <w:gridCol w:w="9936"/>
      </w:tblGrid>
      <w:tr>
        <w:tc>
          <w:tcPr>
            <w:tcW w:type="dxa" w:w="9936"/>
            <w:shd w:fill="F0FDF4"/>
            <w:tcMar>
              <w:top w:w="120" w:type="dxa"/>
              <w:bottom w:w="120" w:type="dxa"/>
              <w:left w:w="180" w:type="dxa"/>
              <w:right w:w="180" w:type="dxa"/>
            </w:tcMar>
          </w:tcPr>
          <w:p>
            <w:pPr>
              <w:spacing w:before="40" w:after="40"/>
            </w:pPr>
            <w:r>
              <w:rPr>
                <w:b/>
                <w:color w:val="166534"/>
                <w:sz w:val="20"/>
              </w:rPr>
              <w:t>KEY EXPO VALUE PROPOSITION:</w:t>
              <w:br/>
            </w:r>
            <w:r>
              <w:rPr>
                <w:color w:val="1F2937"/>
                <w:sz w:val="19"/>
              </w:rPr>
              <w:t>• 90% Cost Reduction: Replaces ₹5,000 hospital motion labs with an 8-second standard webcam walk test.</w:t>
              <w:br/>
              <w:t>• Clinically Grounded in 9,580 Patients: Powered by NIH OAI cohort machine learning (82.69% accuracy, 0.871 AUC).</w:t>
              <w:br/>
              <w:t>• Resilient Hybrid Architecture: Live Supabase Cloud Database with automated offline SQLite edge fallback for remote areas.</w:t>
            </w:r>
          </w:p>
        </w:tc>
      </w:tr>
    </w:tbl>
    <w:p>
      <w:pPr>
        <w:spacing w:after="80"/>
      </w:pPr>
    </w:p>
    <w:p>
      <w:pPr>
        <w:pStyle w:val="Heading1"/>
      </w:pPr>
      <w:r>
        <w:t>2. The 4-Stage Clinical Screening Workflow</w:t>
      </w:r>
    </w:p>
    <w:p>
      <w:r>
        <w:t>The application organizes the clinical consultation into a seamless, SOP-guided 4-stage stepper designed specifically for healthcare workers, ASHAs, and frontline clinic screeners:</w:t>
      </w:r>
    </w:p>
    <w:p>
      <w:pPr>
        <w:spacing w:after="60"/>
      </w:pPr>
      <w:r>
        <w:rPr>
          <w:b/>
          <w:color w:val="1E3A8A"/>
        </w:rPr>
        <w:t xml:space="preserve">• Stage 1: Frontline Intake &amp; Anthropometrics: </w:t>
      </w:r>
      <w:r>
        <w:t>Captures vital parameters: Height, Weight, automated Body Mass Index (BMI), Blood Pressure (Systolic/Diastolic), affected joint compartment (Right/Left), and agrarian/industrial physical workload hazards (e.g., prolonged deep squatting, tea plucking, heavy manual loads).</w:t>
      </w:r>
    </w:p>
    <w:p>
      <w:pPr>
        <w:spacing w:after="60"/>
      </w:pPr>
      <w:r>
        <w:rPr>
          <w:b/>
          <w:color w:val="1E3A8A"/>
        </w:rPr>
        <w:t xml:space="preserve">• Stage 2: Clinical Symptoms &amp; KOOS-India Survey: </w:t>
      </w:r>
      <w:r>
        <w:t>Digitally assesses localized joint pain (VAS 0–10 scale), morning joint stiffness duration (minutes), functional mobility flags (crepitus, stair ascent pain, squat difficulty, night pain), and computes an instant KOOS composite score (0–40).</w:t>
      </w:r>
    </w:p>
    <w:p>
      <w:pPr>
        <w:spacing w:after="60"/>
      </w:pPr>
      <w:r>
        <w:rPr>
          <w:b/>
          <w:color w:val="1E3A8A"/>
        </w:rPr>
        <w:t xml:space="preserve">• Stage 3: Optical Camera Setup &amp; Calibration: </w:t>
      </w:r>
      <w:r>
        <w:t>Guides the screener through hardware validation: 2.5-meter unobstructed straight runway, 420+ Lux lighting sensor check, and 90° sagittal optical camera positioning. Supports live built-in webcams, external USB cameras, and sample validation video clips.</w:t>
      </w:r>
    </w:p>
    <w:p>
      <w:pPr>
        <w:spacing w:after="60"/>
      </w:pPr>
      <w:r>
        <w:rPr>
          <w:b/>
          <w:color w:val="1E3A8A"/>
        </w:rPr>
        <w:t xml:space="preserve">• Stage 4: 8-Second Walk Test &amp; Biomechanical HUD Studio: </w:t>
      </w:r>
      <w:r>
        <w:t>Executes an 8-second standardized walking test. High-speed MediaPipe BlazePose computer vision extracts real-time skeletal landmarks, streaming instant joint metrics into an interactive HUD with immediate triage stratification and 1-click specialist teleconsultation referral.</w:t>
      </w:r>
    </w:p>
    <w:p>
      <w:pPr>
        <w:spacing w:after="80"/>
      </w:pPr>
    </w:p>
    <w:p>
      <w:pPr>
        <w:pStyle w:val="Heading1"/>
      </w:pPr>
      <w:r>
        <w:t>3. AI Models &amp; Rigorous Evaluation Benchmarks</w:t>
      </w:r>
    </w:p>
    <w:p>
      <w:r>
        <w:t>The platform integrates five complementary machine learning and deep learning models to achieve high diagnostic sensitivity without requiring expensive hospital infrastructure: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1E3A8A"/>
            <w:tcMar>
              <w:top w:w="80" w:type="dxa"/>
              <w:bottom w:w="80" w:type="dxa"/>
              <w:left w:w="100" w:type="dxa"/>
              <w:right w:w="100" w:type="dxa"/>
            </w:tcMar>
          </w:tcPr>
          <w:p>
            <w:pPr>
              <w:jc w:val="center"/>
            </w:pPr>
            <w:r>
              <w:rPr>
                <w:b/>
                <w:color w:val="FFFFFF"/>
                <w:sz w:val="18"/>
              </w:rPr>
              <w:t>Model &amp; Domain</w:t>
            </w:r>
          </w:p>
        </w:tc>
        <w:tc>
          <w:tcPr>
            <w:tcW w:type="dxa" w:w="1872"/>
            <w:shd w:fill="1E3A8A"/>
            <w:tcMar>
              <w:top w:w="80" w:type="dxa"/>
              <w:bottom w:w="80" w:type="dxa"/>
              <w:left w:w="100" w:type="dxa"/>
              <w:right w:w="100" w:type="dxa"/>
            </w:tcMar>
          </w:tcPr>
          <w:p>
            <w:pPr>
              <w:jc w:val="center"/>
            </w:pPr>
            <w:r>
              <w:rPr>
                <w:b/>
                <w:color w:val="FFFFFF"/>
                <w:sz w:val="18"/>
              </w:rPr>
              <w:t>Architecture</w:t>
            </w:r>
          </w:p>
        </w:tc>
        <w:tc>
          <w:tcPr>
            <w:tcW w:type="dxa" w:w="2160"/>
            <w:shd w:fill="1E3A8A"/>
            <w:tcMar>
              <w:top w:w="80" w:type="dxa"/>
              <w:bottom w:w="80" w:type="dxa"/>
              <w:left w:w="100" w:type="dxa"/>
              <w:right w:w="100" w:type="dxa"/>
            </w:tcMar>
          </w:tcPr>
          <w:p>
            <w:pPr>
              <w:jc w:val="center"/>
            </w:pPr>
            <w:r>
              <w:rPr>
                <w:b/>
                <w:color w:val="FFFFFF"/>
                <w:sz w:val="18"/>
              </w:rPr>
              <w:t>Dataset &amp; Cohort</w:t>
            </w:r>
          </w:p>
        </w:tc>
        <w:tc>
          <w:tcPr>
            <w:tcW w:type="dxa" w:w="1584"/>
            <w:shd w:fill="1E3A8A"/>
            <w:tcMar>
              <w:top w:w="80" w:type="dxa"/>
              <w:bottom w:w="80" w:type="dxa"/>
              <w:left w:w="100" w:type="dxa"/>
              <w:right w:w="100" w:type="dxa"/>
            </w:tcMar>
          </w:tcPr>
          <w:p>
            <w:pPr>
              <w:jc w:val="center"/>
            </w:pPr>
            <w:r>
              <w:rPr>
                <w:b/>
                <w:color w:val="FFFFFF"/>
                <w:sz w:val="18"/>
              </w:rPr>
              <w:t>Accuracy</w:t>
            </w:r>
          </w:p>
        </w:tc>
        <w:tc>
          <w:tcPr>
            <w:tcW w:type="dxa" w:w="1584"/>
            <w:shd w:fill="1E3A8A"/>
            <w:tcMar>
              <w:top w:w="80" w:type="dxa"/>
              <w:bottom w:w="80" w:type="dxa"/>
              <w:left w:w="100" w:type="dxa"/>
              <w:right w:w="100" w:type="dxa"/>
            </w:tcMar>
          </w:tcPr>
          <w:p>
            <w:pPr>
              <w:jc w:val="center"/>
            </w:pPr>
            <w:r>
              <w:rPr>
                <w:b/>
                <w:color w:val="FFFFFF"/>
                <w:sz w:val="18"/>
              </w:rPr>
              <w:t>ROC-AUC / F1</w:t>
            </w:r>
          </w:p>
        </w:tc>
      </w:tr>
      <w:tr>
        <w:tc>
          <w:tcPr>
            <w:tcW w:type="dxa" w:w="2592"/>
            <w:tcMar>
              <w:top w:w="60" w:type="dxa"/>
              <w:bottom w:w="60" w:type="dxa"/>
              <w:left w:w="80" w:type="dxa"/>
              <w:right w:w="80" w:type="dxa"/>
            </w:tcMar>
          </w:tcPr>
          <w:p>
            <w:r>
              <w:rPr>
                <w:b/>
                <w:sz w:val="17"/>
              </w:rPr>
              <w:t>1. Clinical OA Pain Model</w:t>
            </w:r>
          </w:p>
        </w:tc>
        <w:tc>
          <w:tcPr>
            <w:tcW w:type="dxa" w:w="1872"/>
            <w:tcMar>
              <w:top w:w="60" w:type="dxa"/>
              <w:bottom w:w="60" w:type="dxa"/>
              <w:left w:w="80" w:type="dxa"/>
              <w:right w:w="80" w:type="dxa"/>
            </w:tcMar>
          </w:tcPr>
          <w:p>
            <w:r>
              <w:rPr>
                <w:sz w:val="17"/>
              </w:rPr>
              <w:t>Gradient-Boosted / RF Ensemble Pipeline</w:t>
            </w:r>
          </w:p>
        </w:tc>
        <w:tc>
          <w:tcPr>
            <w:tcW w:type="dxa" w:w="2160"/>
            <w:tcMar>
              <w:top w:w="60" w:type="dxa"/>
              <w:bottom w:w="60" w:type="dxa"/>
              <w:left w:w="80" w:type="dxa"/>
              <w:right w:w="80" w:type="dxa"/>
            </w:tcMar>
          </w:tcPr>
          <w:p>
            <w:r>
              <w:rPr>
                <w:sz w:val="17"/>
              </w:rPr>
              <w:t>NIH OAI Cohort (9,580 Patient Knees)</w:t>
            </w:r>
          </w:p>
        </w:tc>
        <w:tc>
          <w:tcPr>
            <w:tcW w:type="dxa" w:w="1584"/>
            <w:tcMar>
              <w:top w:w="60" w:type="dxa"/>
              <w:bottom w:w="60" w:type="dxa"/>
              <w:left w:w="80" w:type="dxa"/>
              <w:right w:w="80" w:type="dxa"/>
            </w:tcMar>
            <w:shd w:fill="F3F4F6"/>
          </w:tcPr>
          <w:p>
            <w:pPr>
              <w:jc w:val="center"/>
            </w:pPr>
            <w:r>
              <w:rPr>
                <w:b/>
                <w:color w:val="166534"/>
                <w:sz w:val="17"/>
              </w:rPr>
              <w:t>82.69%</w:t>
            </w:r>
          </w:p>
        </w:tc>
        <w:tc>
          <w:tcPr>
            <w:tcW w:type="dxa" w:w="1584"/>
            <w:tcMar>
              <w:top w:w="60" w:type="dxa"/>
              <w:bottom w:w="60" w:type="dxa"/>
              <w:left w:w="80" w:type="dxa"/>
              <w:right w:w="80" w:type="dxa"/>
            </w:tcMar>
            <w:shd w:fill="F3F4F6"/>
          </w:tcPr>
          <w:p>
            <w:pPr>
              <w:jc w:val="center"/>
            </w:pPr>
            <w:r>
              <w:rPr>
                <w:sz w:val="17"/>
              </w:rPr>
              <w:t>0.8708 AUC (82.9% F1)</w:t>
            </w:r>
          </w:p>
        </w:tc>
      </w:tr>
      <w:tr>
        <w:tc>
          <w:tcPr>
            <w:tcW w:type="dxa" w:w="2592"/>
            <w:tcMar>
              <w:top w:w="60" w:type="dxa"/>
              <w:bottom w:w="60" w:type="dxa"/>
              <w:left w:w="80" w:type="dxa"/>
              <w:right w:w="80" w:type="dxa"/>
            </w:tcMar>
          </w:tcPr>
          <w:p>
            <w:r>
              <w:rPr>
                <w:b/>
                <w:sz w:val="17"/>
              </w:rPr>
              <w:t>2. Gait Kinematics Model</w:t>
            </w:r>
          </w:p>
        </w:tc>
        <w:tc>
          <w:tcPr>
            <w:tcW w:type="dxa" w:w="1872"/>
            <w:tcMar>
              <w:top w:w="60" w:type="dxa"/>
              <w:bottom w:w="60" w:type="dxa"/>
              <w:left w:w="80" w:type="dxa"/>
              <w:right w:w="80" w:type="dxa"/>
            </w:tcMar>
          </w:tcPr>
          <w:p>
            <w:r>
              <w:rPr>
                <w:sz w:val="17"/>
              </w:rPr>
              <w:t>MediaPipe BlazePose + Random Forest</w:t>
            </w:r>
          </w:p>
        </w:tc>
        <w:tc>
          <w:tcPr>
            <w:tcW w:type="dxa" w:w="2160"/>
            <w:tcMar>
              <w:top w:w="60" w:type="dxa"/>
              <w:bottom w:w="60" w:type="dxa"/>
              <w:left w:w="80" w:type="dxa"/>
              <w:right w:w="80" w:type="dxa"/>
            </w:tcMar>
          </w:tcPr>
          <w:p>
            <w:r>
              <w:rPr>
                <w:sz w:val="17"/>
              </w:rPr>
              <w:t>125 Video Trials (77 Subjects)</w:t>
            </w:r>
          </w:p>
        </w:tc>
        <w:tc>
          <w:tcPr>
            <w:tcW w:type="dxa" w:w="1584"/>
            <w:tcMar>
              <w:top w:w="60" w:type="dxa"/>
              <w:bottom w:w="60" w:type="dxa"/>
              <w:left w:w="80" w:type="dxa"/>
              <w:right w:w="80" w:type="dxa"/>
            </w:tcMar>
            <w:shd w:fill="F3F4F6"/>
          </w:tcPr>
          <w:p>
            <w:pPr>
              <w:jc w:val="center"/>
            </w:pPr>
            <w:r>
              <w:rPr>
                <w:b/>
                <w:color w:val="166534"/>
                <w:sz w:val="17"/>
              </w:rPr>
              <w:t>74.40%</w:t>
            </w:r>
          </w:p>
        </w:tc>
        <w:tc>
          <w:tcPr>
            <w:tcW w:type="dxa" w:w="1584"/>
            <w:tcMar>
              <w:top w:w="60" w:type="dxa"/>
              <w:bottom w:w="60" w:type="dxa"/>
              <w:left w:w="80" w:type="dxa"/>
              <w:right w:w="80" w:type="dxa"/>
            </w:tcMar>
            <w:shd w:fill="F3F4F6"/>
          </w:tcPr>
          <w:p>
            <w:pPr>
              <w:jc w:val="center"/>
            </w:pPr>
            <w:r>
              <w:rPr>
                <w:sz w:val="17"/>
              </w:rPr>
              <w:t>98.0% Low-Risk Specificity</w:t>
            </w:r>
          </w:p>
        </w:tc>
      </w:tr>
      <w:tr>
        <w:tc>
          <w:tcPr>
            <w:tcW w:type="dxa" w:w="2592"/>
            <w:tcMar>
              <w:top w:w="60" w:type="dxa"/>
              <w:bottom w:w="60" w:type="dxa"/>
              <w:left w:w="80" w:type="dxa"/>
              <w:right w:w="80" w:type="dxa"/>
            </w:tcMar>
          </w:tcPr>
          <w:p>
            <w:r>
              <w:rPr>
                <w:b/>
                <w:sz w:val="17"/>
              </w:rPr>
              <w:t>3. Knee Bone Density (BMD)</w:t>
            </w:r>
          </w:p>
        </w:tc>
        <w:tc>
          <w:tcPr>
            <w:tcW w:type="dxa" w:w="1872"/>
            <w:tcMar>
              <w:top w:w="60" w:type="dxa"/>
              <w:bottom w:w="60" w:type="dxa"/>
              <w:left w:w="80" w:type="dxa"/>
              <w:right w:w="80" w:type="dxa"/>
            </w:tcMar>
          </w:tcPr>
          <w:p>
            <w:r>
              <w:rPr>
                <w:sz w:val="17"/>
              </w:rPr>
              <w:t>Bone Microarchitecture Classifier</w:t>
            </w:r>
          </w:p>
        </w:tc>
        <w:tc>
          <w:tcPr>
            <w:tcW w:type="dxa" w:w="2160"/>
            <w:tcMar>
              <w:top w:w="60" w:type="dxa"/>
              <w:bottom w:w="60" w:type="dxa"/>
              <w:left w:w="80" w:type="dxa"/>
              <w:right w:w="80" w:type="dxa"/>
            </w:tcMar>
          </w:tcPr>
          <w:p>
            <w:r>
              <w:rPr>
                <w:sz w:val="17"/>
              </w:rPr>
              <w:t>Skeletal Microdensity Cohort</w:t>
            </w:r>
          </w:p>
        </w:tc>
        <w:tc>
          <w:tcPr>
            <w:tcW w:type="dxa" w:w="1584"/>
            <w:tcMar>
              <w:top w:w="60" w:type="dxa"/>
              <w:bottom w:w="60" w:type="dxa"/>
              <w:left w:w="80" w:type="dxa"/>
              <w:right w:w="80" w:type="dxa"/>
            </w:tcMar>
            <w:shd w:fill="F3F4F6"/>
          </w:tcPr>
          <w:p>
            <w:pPr>
              <w:jc w:val="center"/>
            </w:pPr>
            <w:r>
              <w:rPr>
                <w:b/>
                <w:color w:val="166534"/>
                <w:sz w:val="17"/>
              </w:rPr>
              <w:t>80.19%</w:t>
            </w:r>
          </w:p>
        </w:tc>
        <w:tc>
          <w:tcPr>
            <w:tcW w:type="dxa" w:w="1584"/>
            <w:tcMar>
              <w:top w:w="60" w:type="dxa"/>
              <w:bottom w:w="60" w:type="dxa"/>
              <w:left w:w="80" w:type="dxa"/>
              <w:right w:w="80" w:type="dxa"/>
            </w:tcMar>
            <w:shd w:fill="F3F4F6"/>
          </w:tcPr>
          <w:p>
            <w:pPr>
              <w:jc w:val="center"/>
            </w:pPr>
            <w:r>
              <w:rPr>
                <w:sz w:val="17"/>
              </w:rPr>
              <w:t>74.4% Val Accuracy</w:t>
            </w:r>
          </w:p>
        </w:tc>
      </w:tr>
      <w:tr>
        <w:tc>
          <w:tcPr>
            <w:tcW w:type="dxa" w:w="2592"/>
            <w:tcMar>
              <w:top w:w="60" w:type="dxa"/>
              <w:bottom w:w="60" w:type="dxa"/>
              <w:left w:w="80" w:type="dxa"/>
              <w:right w:w="80" w:type="dxa"/>
            </w:tcMar>
          </w:tcPr>
          <w:p>
            <w:r>
              <w:rPr>
                <w:b/>
                <w:sz w:val="17"/>
              </w:rPr>
              <w:t>4. Knee Radiograph KL-Staging</w:t>
            </w:r>
          </w:p>
        </w:tc>
        <w:tc>
          <w:tcPr>
            <w:tcW w:type="dxa" w:w="1872"/>
            <w:tcMar>
              <w:top w:w="60" w:type="dxa"/>
              <w:bottom w:w="60" w:type="dxa"/>
              <w:left w:w="80" w:type="dxa"/>
              <w:right w:w="80" w:type="dxa"/>
            </w:tcMar>
          </w:tcPr>
          <w:p>
            <w:r>
              <w:rPr>
                <w:sz w:val="17"/>
              </w:rPr>
              <w:t>DenseNet-121 CNN + Grad-CAM Heatmaps</w:t>
            </w:r>
          </w:p>
        </w:tc>
        <w:tc>
          <w:tcPr>
            <w:tcW w:type="dxa" w:w="2160"/>
            <w:tcMar>
              <w:top w:w="60" w:type="dxa"/>
              <w:bottom w:w="60" w:type="dxa"/>
              <w:left w:w="80" w:type="dxa"/>
              <w:right w:w="80" w:type="dxa"/>
            </w:tcMar>
          </w:tcPr>
          <w:p>
            <w:r>
              <w:rPr>
                <w:sz w:val="17"/>
              </w:rPr>
              <w:t>OAI &amp; MOST Radiograph Benchmarks</w:t>
            </w:r>
          </w:p>
        </w:tc>
        <w:tc>
          <w:tcPr>
            <w:tcW w:type="dxa" w:w="1584"/>
            <w:tcMar>
              <w:top w:w="60" w:type="dxa"/>
              <w:bottom w:w="60" w:type="dxa"/>
              <w:left w:w="80" w:type="dxa"/>
              <w:right w:w="80" w:type="dxa"/>
            </w:tcMar>
            <w:shd w:fill="F3F4F6"/>
          </w:tcPr>
          <w:p>
            <w:pPr>
              <w:jc w:val="center"/>
            </w:pPr>
            <w:r>
              <w:rPr>
                <w:b/>
                <w:color w:val="166534"/>
                <w:sz w:val="17"/>
              </w:rPr>
              <w:t>86.40%</w:t>
            </w:r>
          </w:p>
        </w:tc>
        <w:tc>
          <w:tcPr>
            <w:tcW w:type="dxa" w:w="1584"/>
            <w:tcMar>
              <w:top w:w="60" w:type="dxa"/>
              <w:bottom w:w="60" w:type="dxa"/>
              <w:left w:w="80" w:type="dxa"/>
              <w:right w:w="80" w:type="dxa"/>
            </w:tcMar>
            <w:shd w:fill="F3F4F6"/>
          </w:tcPr>
          <w:p>
            <w:pPr>
              <w:jc w:val="center"/>
            </w:pPr>
            <w:r>
              <w:rPr>
                <w:sz w:val="17"/>
              </w:rPr>
              <w:t>0.9120 Binary AUC</w:t>
            </w:r>
          </w:p>
        </w:tc>
      </w:tr>
      <w:tr>
        <w:tc>
          <w:tcPr>
            <w:tcW w:type="dxa" w:w="2592"/>
            <w:tcMar>
              <w:top w:w="60" w:type="dxa"/>
              <w:bottom w:w="60" w:type="dxa"/>
              <w:left w:w="80" w:type="dxa"/>
              <w:right w:w="80" w:type="dxa"/>
            </w:tcMar>
          </w:tcPr>
          <w:p>
            <w:r>
              <w:rPr>
                <w:b/>
                <w:sz w:val="17"/>
              </w:rPr>
              <w:t>5. ICMR Multi-Modal Fusion</w:t>
            </w:r>
          </w:p>
        </w:tc>
        <w:tc>
          <w:tcPr>
            <w:tcW w:type="dxa" w:w="1872"/>
            <w:tcMar>
              <w:top w:w="60" w:type="dxa"/>
              <w:bottom w:w="60" w:type="dxa"/>
              <w:left w:w="80" w:type="dxa"/>
              <w:right w:w="80" w:type="dxa"/>
            </w:tcMar>
          </w:tcPr>
          <w:p>
            <w:r>
              <w:rPr>
                <w:sz w:val="17"/>
              </w:rPr>
              <w:t>Deterministic Decision Matrix</w:t>
            </w:r>
          </w:p>
        </w:tc>
        <w:tc>
          <w:tcPr>
            <w:tcW w:type="dxa" w:w="2160"/>
            <w:tcMar>
              <w:top w:w="60" w:type="dxa"/>
              <w:bottom w:w="60" w:type="dxa"/>
              <w:left w:w="80" w:type="dxa"/>
              <w:right w:w="80" w:type="dxa"/>
            </w:tcMar>
          </w:tcPr>
          <w:p>
            <w:r>
              <w:rPr>
                <w:sz w:val="17"/>
              </w:rPr>
              <w:t>ICMR National Triage Protocols</w:t>
            </w:r>
          </w:p>
        </w:tc>
        <w:tc>
          <w:tcPr>
            <w:tcW w:type="dxa" w:w="1584"/>
            <w:tcMar>
              <w:top w:w="60" w:type="dxa"/>
              <w:bottom w:w="60" w:type="dxa"/>
              <w:left w:w="80" w:type="dxa"/>
              <w:right w:w="80" w:type="dxa"/>
            </w:tcMar>
            <w:shd w:fill="F3F4F6"/>
          </w:tcPr>
          <w:p>
            <w:pPr>
              <w:jc w:val="center"/>
            </w:pPr>
            <w:r>
              <w:rPr>
                <w:b/>
                <w:color w:val="166534"/>
                <w:sz w:val="17"/>
              </w:rPr>
              <w:t>100%</w:t>
            </w:r>
          </w:p>
        </w:tc>
        <w:tc>
          <w:tcPr>
            <w:tcW w:type="dxa" w:w="1584"/>
            <w:tcMar>
              <w:top w:w="60" w:type="dxa"/>
              <w:bottom w:w="60" w:type="dxa"/>
              <w:left w:w="80" w:type="dxa"/>
              <w:right w:w="80" w:type="dxa"/>
            </w:tcMar>
            <w:shd w:fill="F3F4F6"/>
          </w:tcPr>
          <w:p>
            <w:pPr>
              <w:jc w:val="center"/>
            </w:pPr>
            <w:r>
              <w:rPr>
                <w:sz w:val="17"/>
              </w:rPr>
              <w:t>Full Clinical Concordance</w:t>
            </w:r>
          </w:p>
        </w:tc>
      </w:tr>
    </w:tbl>
    <w:p>
      <w:pPr>
        <w:spacing w:after="120"/>
      </w:pPr>
    </w:p>
    <w:p>
      <w:r>
        <w:rPr>
          <w:b/>
          <w:color w:val="1E3A8A"/>
        </w:rPr>
        <w:t xml:space="preserve">Deep Dive into the Primary OAI Model (PLOS ONE 2025): </w:t>
      </w:r>
      <w:r>
        <w:t>Trained across 9,580 evaluated patient records with 17 clinical and functional features. Evaluates key biomarkers including KOOS pain (27.35% feature weight), WOMAC joint pain (14.03%), WOMAC total burden (12.47%), 400m walk endurance time, and 20m gait speed. Achieves 89.42% precision and 85.91% sensitivity for frequent OA pain detection.</w:t>
      </w:r>
    </w:p>
    <w:p>
      <w:r>
        <w:rPr>
          <w:b/>
          <w:color w:val="1E3A8A"/>
        </w:rPr>
        <w:t xml:space="preserve">Deep Dive into Computer Vision Gait Kinematics: </w:t>
      </w:r>
      <w:r>
        <w:t>Extracts 33 skeletal keypoints at 30 FPS in client-side WebAssembly without sending raw video frames to external servers (HIPAA/DISHA privacy compliant). Tracks Sagittal Knee Extension Deficit (degrees), Walking Velocity (m/s), Cadence (steps/min), and Dynamic Step Asymmetry.</w:t>
      </w:r>
    </w:p>
    <w:p>
      <w:pPr>
        <w:spacing w:after="80"/>
      </w:pPr>
    </w:p>
    <w:p>
      <w:pPr>
        <w:pStyle w:val="Heading1"/>
      </w:pPr>
      <w:r>
        <w:t>4. Technology Stack &amp; Cloud Infrastructure</w:t>
      </w:r>
    </w:p>
    <w:p>
      <w:pPr>
        <w:spacing w:after="40"/>
      </w:pPr>
      <w:r>
        <w:rPr>
          <w:b/>
          <w:color w:val="0D9488"/>
        </w:rPr>
        <w:t xml:space="preserve">• Frontend Application: </w:t>
      </w:r>
      <w:r>
        <w:t>React 18, Vite build system, Tailwind CSS design system, HTML5 Canvas API, Lucide/Material design icons, responsive tablet/desktop layouts.</w:t>
      </w:r>
    </w:p>
    <w:p>
      <w:pPr>
        <w:spacing w:after="40"/>
      </w:pPr>
      <w:r>
        <w:rPr>
          <w:b/>
          <w:color w:val="0D9488"/>
        </w:rPr>
        <w:t xml:space="preserve">• Computer Vision &amp; Edge AI: </w:t>
      </w:r>
      <w:r>
        <w:t>Google MediaPipe BlazePose (33-landmark pose tracking), OpenCV Python bindings, client-side HTML5 canvas overlay.</w:t>
      </w:r>
    </w:p>
    <w:p>
      <w:pPr>
        <w:spacing w:after="40"/>
      </w:pPr>
      <w:r>
        <w:rPr>
          <w:b/>
          <w:color w:val="0D9488"/>
        </w:rPr>
        <w:t xml:space="preserve">• Backend Services: </w:t>
      </w:r>
      <w:r>
        <w:t>FastAPI (Python 3.11), PyTorch Deep Learning framework, Scikit-Learn pipelines, Joblib serialized models.</w:t>
      </w:r>
    </w:p>
    <w:p>
      <w:pPr>
        <w:spacing w:after="40"/>
      </w:pPr>
      <w:r>
        <w:rPr>
          <w:b/>
          <w:color w:val="0D9488"/>
        </w:rPr>
        <w:t xml:space="preserve">• Cloud Database &amp; Storage: </w:t>
      </w:r>
      <w:r>
        <w:t>Supabase Cloud Platform (PostgreSQL database, Row-Level Security, JSONB unstructured metric payloads, Object Storage for radiographs &amp; gait clips).</w:t>
      </w:r>
    </w:p>
    <w:p>
      <w:pPr>
        <w:spacing w:after="40"/>
      </w:pPr>
      <w:r>
        <w:rPr>
          <w:b/>
          <w:color w:val="0D9488"/>
        </w:rPr>
        <w:t xml:space="preserve">• Edge Continuity (Offline Mode): </w:t>
      </w:r>
      <w:r>
        <w:t>Local SQLite edge database (screening.db) with automatic bidirectional failover ensuring uninterrupted screening during rural connectivity drops.</w:t>
      </w:r>
    </w:p>
    <w:p>
      <w:pPr>
        <w:spacing w:after="40"/>
      </w:pPr>
      <w:r>
        <w:rPr>
          <w:b/>
          <w:color w:val="0D9488"/>
        </w:rPr>
        <w:t xml:space="preserve">• Identity &amp; Security: </w:t>
      </w:r>
      <w:r>
        <w:t>Google OAuth 2.0 OpenID Connect integration, Session-based authentication, ABHA Health ID compliant patient records.</w:t>
      </w:r>
    </w:p>
    <w:p>
      <w:pPr>
        <w:spacing w:after="80"/>
      </w:pPr>
    </w:p>
    <w:p>
      <w:pPr>
        <w:pStyle w:val="Heading1"/>
      </w:pPr>
      <w:r>
        <w:t>5. Expo Demonstration Script (How to Present to Judges)</w:t>
      </w:r>
    </w:p>
    <w:p>
      <w:pPr>
        <w:spacing w:after="60"/>
      </w:pPr>
      <w:r>
        <w:rPr>
          <w:b/>
          <w:color w:val="DC2626"/>
        </w:rPr>
        <w:t xml:space="preserve">[0:00 - 0:30 (Hook &amp; Problem)] </w:t>
      </w:r>
      <w:r>
        <w:t>Show the login portal and state the problem: 'Millions in rural India suffer from debilitating knee arthritis, but rural clinics lack orthopedic specialists. Today we present OrthoNex, an AI platform that turns any standard laptop into an orthopedic screening lab.'</w:t>
      </w:r>
    </w:p>
    <w:p>
      <w:pPr>
        <w:spacing w:after="60"/>
      </w:pPr>
      <w:r>
        <w:rPr>
          <w:b/>
          <w:color w:val="DC2626"/>
        </w:rPr>
        <w:t xml:space="preserve">[0:30 - 1:00 (Workflow Walkthrough)] </w:t>
      </w:r>
      <w:r>
        <w:t>Click into Patient Intake. Demonstrate Step 1 (BMI, BP, joint side) and Step 2 (Pain VAS and KOOS survey). Point out the live prediction card in Step 4 showing 82.7% accurate OAI model risk stratification.</w:t>
      </w:r>
    </w:p>
    <w:p>
      <w:pPr>
        <w:spacing w:after="60"/>
      </w:pPr>
      <w:r>
        <w:rPr>
          <w:b/>
          <w:color w:val="DC2626"/>
        </w:rPr>
        <w:t xml:space="preserve">[1:00 - 1:30 (Gait Studio Launch)] </w:t>
      </w:r>
      <w:r>
        <w:t>Click 'Launch Gait Studio'. Play the 8-second standardized walk video. Show the real-time BlazePose skeletal tracker extracting Sagittal Knee Deficit, Cadence, and Velocity right on screen.</w:t>
      </w:r>
    </w:p>
    <w:p>
      <w:pPr>
        <w:spacing w:after="60"/>
      </w:pPr>
      <w:r>
        <w:rPr>
          <w:b/>
          <w:color w:val="DC2626"/>
        </w:rPr>
        <w:t xml:space="preserve">[1:30 - 2:00 (Cloud Sync &amp; Teleconsult)] </w:t>
      </w:r>
      <w:r>
        <w:t>Show the final triage summary syncing instantly to Supabase Cloud Database. Demonstrate the 1-click 'Refer to Specialist' modal routing high-risk patients to regional tertiary hospitals.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