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565C0"/>
          <w:sz w:val="44"/>
        </w:rPr>
        <w:t>AIG130 – Project 3</w:t>
      </w:r>
    </w:p>
    <w:p>
      <w:pPr>
        <w:spacing w:before="0" w:after="320"/>
        <w:jc w:val="center"/>
      </w:pPr>
      <w:r>
        <w:rPr>
          <w:rFonts w:ascii="Calibri" w:hAnsi="Calibri"/>
          <w:b/>
          <w:color w:val="424242"/>
          <w:sz w:val="30"/>
        </w:rPr>
        <w:t>Individual Reflection</w:t>
      </w:r>
    </w:p>
    <w:p>
      <w:pPr>
        <w:pBdr>
          <w:bottom w:val="single" w:sz="6" w:space="1" w:color="1565C0"/>
        </w:pBdr>
        <w:spacing w:before="0" w:after="120"/>
      </w:pPr>
    </w:p>
    <w:p/>
    <w:tbl>
      <w:tblPr>
        <w:tblStyle w:val="TableGrid"/>
        <w:tblW w:type="auto" w:w="0"/>
        <w:tblLook w:firstColumn="1" w:firstRow="1" w:lastColumn="0" w:lastRow="0" w:noHBand="0" w:noVBand="1" w:val="04A0"/>
      </w:tblPr>
      <w:tblGrid>
        <w:gridCol w:w="4536"/>
        <w:gridCol w:w="4536"/>
      </w:tblGrid>
      <w:tr>
        <w:tc>
          <w:tcPr>
            <w:tcW w:type="dxa" w:w="2160"/>
            <w:shd w:val="clear" w:color="auto" w:fill="E3F2FD"/>
          </w:tcPr>
          <w:p>
            <w:pPr>
              <w:jc w:val="left"/>
            </w:pPr>
            <w:r>
              <w:rPr>
                <w:rFonts w:ascii="Calibri" w:hAnsi="Calibri"/>
                <w:b/>
                <w:sz w:val="21"/>
              </w:rPr>
              <w:t>Student:</w:t>
            </w:r>
          </w:p>
        </w:tc>
        <w:tc>
          <w:tcPr>
            <w:tcW w:type="dxa" w:w="6912"/>
          </w:tcPr>
          <w:p>
            <w:r>
              <w:rPr>
                <w:rFonts w:ascii="Calibri" w:hAnsi="Calibri"/>
                <w:sz w:val="21"/>
              </w:rPr>
              <w:t>Harpreet Singh</w:t>
            </w:r>
          </w:p>
        </w:tc>
      </w:tr>
      <w:tr>
        <w:tc>
          <w:tcPr>
            <w:tcW w:type="dxa" w:w="2160"/>
            <w:shd w:val="clear" w:color="auto" w:fill="E3F2FD"/>
          </w:tcPr>
          <w:p>
            <w:pPr>
              <w:jc w:val="left"/>
            </w:pPr>
            <w:r>
              <w:rPr>
                <w:rFonts w:ascii="Calibri" w:hAnsi="Calibri"/>
                <w:b/>
                <w:sz w:val="21"/>
              </w:rPr>
              <w:t>Email:</w:t>
            </w:r>
          </w:p>
        </w:tc>
        <w:tc>
          <w:tcPr>
            <w:tcW w:type="dxa" w:w="6912"/>
          </w:tcPr>
          <w:p>
            <w:r>
              <w:rPr>
                <w:rFonts w:ascii="Calibri" w:hAnsi="Calibri"/>
                <w:sz w:val="21"/>
              </w:rPr>
              <w:t>harpreet.moga@gmail.com</w:t>
            </w:r>
          </w:p>
        </w:tc>
      </w:tr>
      <w:tr>
        <w:tc>
          <w:tcPr>
            <w:tcW w:type="dxa" w:w="2160"/>
            <w:shd w:val="clear" w:color="auto" w:fill="E3F2FD"/>
          </w:tcPr>
          <w:p>
            <w:pPr>
              <w:jc w:val="left"/>
            </w:pPr>
            <w:r>
              <w:rPr>
                <w:rFonts w:ascii="Calibri" w:hAnsi="Calibri"/>
                <w:b/>
                <w:sz w:val="21"/>
              </w:rPr>
              <w:t>Course:</w:t>
            </w:r>
          </w:p>
        </w:tc>
        <w:tc>
          <w:tcPr>
            <w:tcW w:type="dxa" w:w="6912"/>
          </w:tcPr>
          <w:p>
            <w:r>
              <w:rPr>
                <w:rFonts w:ascii="Calibri" w:hAnsi="Calibri"/>
                <w:sz w:val="21"/>
              </w:rPr>
              <w:t>AIG130 – Cloud Computing for Machine Learning</w:t>
            </w:r>
          </w:p>
        </w:tc>
      </w:tr>
      <w:tr>
        <w:tc>
          <w:tcPr>
            <w:tcW w:type="dxa" w:w="2160"/>
            <w:shd w:val="clear" w:color="auto" w:fill="E3F2FD"/>
          </w:tcPr>
          <w:p>
            <w:pPr>
              <w:jc w:val="left"/>
            </w:pPr>
            <w:r>
              <w:rPr>
                <w:rFonts w:ascii="Calibri" w:hAnsi="Calibri"/>
                <w:b/>
                <w:sz w:val="21"/>
              </w:rPr>
              <w:t>Project:</w:t>
            </w:r>
          </w:p>
        </w:tc>
        <w:tc>
          <w:tcPr>
            <w:tcW w:type="dxa" w:w="6912"/>
          </w:tcPr>
          <w:p>
            <w:r>
              <w:rPr>
                <w:rFonts w:ascii="Calibri" w:hAnsi="Calibri"/>
                <w:sz w:val="21"/>
              </w:rPr>
              <w:t>Project 3 – MLOps, AutoML, and HuggingFace Pipeline</w:t>
            </w:r>
          </w:p>
        </w:tc>
      </w:tr>
      <w:tr>
        <w:tc>
          <w:tcPr>
            <w:tcW w:type="dxa" w:w="2160"/>
            <w:shd w:val="clear" w:color="auto" w:fill="E3F2FD"/>
          </w:tcPr>
          <w:p>
            <w:pPr>
              <w:jc w:val="left"/>
            </w:pPr>
            <w:r>
              <w:rPr>
                <w:rFonts w:ascii="Calibri" w:hAnsi="Calibri"/>
                <w:b/>
                <w:sz w:val="21"/>
              </w:rPr>
              <w:t>Date:</w:t>
            </w:r>
          </w:p>
        </w:tc>
        <w:tc>
          <w:tcPr>
            <w:tcW w:type="dxa" w:w="6912"/>
          </w:tcPr>
          <w:p>
            <w:r>
              <w:rPr>
                <w:rFonts w:ascii="Calibri" w:hAnsi="Calibri"/>
                <w:sz w:val="21"/>
              </w:rPr>
              <w:t>April 2026</w:t>
            </w:r>
          </w:p>
        </w:tc>
      </w:tr>
    </w:tbl>
    <w:p/>
    <w:p>
      <w:pPr>
        <w:spacing w:before="280" w:after="120"/>
      </w:pPr>
      <w:r>
        <w:rPr>
          <w:rFonts w:ascii="Calibri" w:hAnsi="Calibri"/>
          <w:b/>
          <w:color w:val="1565C0"/>
          <w:sz w:val="28"/>
        </w:rPr>
        <w:t>Question 1: Why Did You Choose to Work Individually?</w:t>
      </w:r>
    </w:p>
    <w:p>
      <w:pPr>
        <w:pBdr>
          <w:bottom w:val="single" w:sz="6" w:space="1" w:color="1565C0"/>
        </w:pBdr>
        <w:spacing w:before="0" w:after="120"/>
      </w:pPr>
    </w:p>
    <w:p>
      <w:pPr>
        <w:spacing w:before="0" w:after="140" w:line="280" w:lineRule="exact"/>
        <w:jc w:val="both"/>
      </w:pPr>
      <w:r>
        <w:rPr>
          <w:rFonts w:ascii="Calibri" w:hAnsi="Calibri"/>
          <w:color w:val="212121"/>
          <w:sz w:val="22"/>
        </w:rPr>
        <w:t>I chose to work on this project individually for several deliberate reasons, all of which ultimately shaped my learning experience in meaningful ways.</w:t>
      </w:r>
    </w:p>
    <w:p>
      <w:pPr>
        <w:spacing w:before="200" w:after="80"/>
      </w:pPr>
      <w:r>
        <w:rPr>
          <w:rFonts w:ascii="Calibri" w:hAnsi="Calibri"/>
          <w:b/>
          <w:color w:val="2E7D32"/>
          <w:sz w:val="24"/>
        </w:rPr>
        <w:t>Motivation for Working Solo</w:t>
      </w:r>
    </w:p>
    <w:p>
      <w:pPr>
        <w:spacing w:before="0" w:after="140" w:line="280" w:lineRule="exact"/>
        <w:jc w:val="both"/>
      </w:pPr>
      <w:r>
        <w:rPr>
          <w:rFonts w:ascii="Calibri" w:hAnsi="Calibri"/>
          <w:color w:val="212121"/>
          <w:sz w:val="22"/>
        </w:rPr>
        <w:t>My primary motivation was to gain a complete, end-to-end understanding of the entire ML pipeline — from raw vibration signal processing all the way to cloud deployment. In a group setting, tasks are naturally divided, meaning each member typically develops deep expertise in only one or two areas. By working alone, I was compelled to engage with every component: DSP-based feature engineering, HuggingFace Datasets, FLAML AutoML, PyTorch neural networks, MLflow experiment tracking, and AWS SageMaker deployment.</w:t>
      </w:r>
    </w:p>
    <w:p>
      <w:pPr>
        <w:spacing w:before="0" w:after="140" w:line="280" w:lineRule="exact"/>
        <w:jc w:val="both"/>
      </w:pPr>
      <w:r>
        <w:rPr>
          <w:rFonts w:ascii="Calibri" w:hAnsi="Calibri"/>
          <w:color w:val="212121"/>
          <w:sz w:val="22"/>
        </w:rPr>
        <w:t>Additionally, I wanted to challenge myself by selecting a problem at the intersection of two domains I am passionate about — control engineering and machine learning. Bearing fault detection using vibration analysis is a genuinely complex, real-world problem that requires understanding both signal processing theory (FFT, Hilbert transform, characteristic bearing frequencies) and modern ML engineering practices. Working independently ensured that I personally wrestled with and resolved every technical challenge in the project.</w:t>
      </w:r>
    </w:p>
    <w:p>
      <w:pPr>
        <w:spacing w:before="200" w:after="80"/>
      </w:pPr>
      <w:r>
        <w:rPr>
          <w:rFonts w:ascii="Calibri" w:hAnsi="Calibri"/>
          <w:b/>
          <w:color w:val="2E7D32"/>
          <w:sz w:val="24"/>
        </w:rPr>
        <w:t>Challenges Encountered</w:t>
      </w:r>
    </w:p>
    <w:p>
      <w:pPr>
        <w:spacing w:before="0" w:after="140" w:line="280" w:lineRule="exact"/>
        <w:jc w:val="both"/>
      </w:pPr>
      <w:r>
        <w:rPr>
          <w:rFonts w:ascii="Calibri" w:hAnsi="Calibri"/>
          <w:color w:val="212121"/>
          <w:sz w:val="22"/>
        </w:rPr>
        <w:t>Working solo presented several significant challenges:</w:t>
      </w:r>
    </w:p>
    <w:p>
      <w:pPr>
        <w:pStyle w:val="ListBullet"/>
        <w:spacing w:before="0" w:after="100"/>
      </w:pPr>
      <w:r>
        <w:rPr>
          <w:rFonts w:ascii="Calibri" w:hAnsi="Calibri"/>
          <w:b/>
          <w:color w:val="212121"/>
          <w:sz w:val="22"/>
        </w:rPr>
        <w:t xml:space="preserve">Signal Simulation Complexity: </w:t>
      </w:r>
      <w:r>
        <w:rPr>
          <w:rFonts w:ascii="Calibri" w:hAnsi="Calibri"/>
          <w:color w:val="212121"/>
          <w:sz w:val="22"/>
        </w:rPr>
        <w:t>Designing realistic synthetic vibration signals that accurately reflect the physics of bearing faults required careful research into bearing characteristic frequencies (BPFI, BPFO, BSF) and DSP modeling techniques. Getting the impulse response shapes and amplitude modulation patterns right took considerable iteration.</w:t>
      </w:r>
    </w:p>
    <w:p>
      <w:pPr>
        <w:pStyle w:val="ListBullet"/>
        <w:spacing w:before="0" w:after="100"/>
      </w:pPr>
      <w:r>
        <w:rPr>
          <w:rFonts w:ascii="Calibri" w:hAnsi="Calibri"/>
          <w:b/>
          <w:color w:val="212121"/>
          <w:sz w:val="22"/>
        </w:rPr>
        <w:t xml:space="preserve">Feature Engineering Decisions: </w:t>
      </w:r>
      <w:r>
        <w:rPr>
          <w:rFonts w:ascii="Calibri" w:hAnsi="Calibri"/>
          <w:color w:val="212121"/>
          <w:sz w:val="22"/>
        </w:rPr>
        <w:t>Selecting and implementing the right DSP features — balancing time-domain statistics, FFT-based spectral features, and Hilbert envelope analysis — required reviewing academic literature on vibration-based fault diagnosis to identify which features are most discriminative for each fault class.</w:t>
      </w:r>
    </w:p>
    <w:p>
      <w:pPr>
        <w:pStyle w:val="ListBullet"/>
        <w:spacing w:before="0" w:after="100"/>
      </w:pPr>
      <w:r>
        <w:rPr>
          <w:rFonts w:ascii="Calibri" w:hAnsi="Calibri"/>
          <w:b/>
          <w:color w:val="212121"/>
          <w:sz w:val="22"/>
        </w:rPr>
        <w:t xml:space="preserve">Integration of Multiple Technologies: </w:t>
      </w:r>
      <w:r>
        <w:rPr>
          <w:rFonts w:ascii="Calibri" w:hAnsi="Calibri"/>
          <w:color w:val="212121"/>
          <w:sz w:val="22"/>
        </w:rPr>
        <w:t>Integrating five different technology ecosystems (HuggingFace, FLAML, PyTorch, MLflow, and SageMaker) into a single coherent pipeline required careful attention to data format compatibility, especially ensuring the HuggingFace DatasetDict fed correctly into the feature extraction and AutoML stages.</w:t>
      </w:r>
    </w:p>
    <w:p>
      <w:pPr>
        <w:pStyle w:val="ListBullet"/>
        <w:spacing w:before="0" w:after="100"/>
      </w:pPr>
      <w:r>
        <w:rPr>
          <w:rFonts w:ascii="Calibri" w:hAnsi="Calibri"/>
          <w:b/>
          <w:color w:val="212121"/>
          <w:sz w:val="22"/>
        </w:rPr>
        <w:t xml:space="preserve">Time Management: </w:t>
      </w:r>
      <w:r>
        <w:rPr>
          <w:rFonts w:ascii="Calibri" w:hAnsi="Calibri"/>
          <w:color w:val="212121"/>
          <w:sz w:val="22"/>
        </w:rPr>
        <w:t>Managing the full scope of the project — code, report, visualizations, and deployment configuration — alone was time-intensive. Without teammates to divide writing and implementation tasks, prioritization and time management were critical skills I had to actively apply throughout the project.</w:t>
      </w:r>
    </w:p>
    <w:p>
      <w:pPr>
        <w:pStyle w:val="ListBullet"/>
        <w:spacing w:before="0" w:after="100"/>
      </w:pPr>
      <w:r>
        <w:rPr>
          <w:rFonts w:ascii="Calibri" w:hAnsi="Calibri"/>
          <w:b/>
          <w:color w:val="212121"/>
          <w:sz w:val="22"/>
        </w:rPr>
        <w:t xml:space="preserve">Cloud Deployment Configuration: </w:t>
      </w:r>
      <w:r>
        <w:rPr>
          <w:rFonts w:ascii="Calibri" w:hAnsi="Calibri"/>
          <w:color w:val="212121"/>
          <w:sz w:val="22"/>
        </w:rPr>
        <w:t>Configuring the AWS SageMaker deployment infrastructure, including IAM roles, S3 artifact storage, inference scripts, and endpoint monitoring, presented a steep learning curve as cloud deployment involves many interacting components beyond the ML model itself.</w:t>
      </w:r>
    </w:p>
    <w:p>
      <w:pPr>
        <w:spacing w:before="0" w:after="140" w:line="280" w:lineRule="exact"/>
        <w:jc w:val="both"/>
      </w:pPr>
      <w:r>
        <w:rPr>
          <w:rFonts w:ascii="Calibri" w:hAnsi="Calibri"/>
          <w:color w:val="212121"/>
          <w:sz w:val="22"/>
        </w:rPr>
        <w:t>Despite these challenges, working individually gave me a comprehensive understanding of the full ML engineering lifecycle that I believe will be invaluable in my future work. Each challenge I encountered independently — and resolved — reinforced my confidence in building production-ready ML systems.</w:t>
      </w:r>
    </w:p>
    <w:p>
      <w:pPr>
        <w:spacing w:before="280" w:after="120"/>
      </w:pPr>
      <w:r>
        <w:rPr>
          <w:rFonts w:ascii="Calibri" w:hAnsi="Calibri"/>
          <w:b/>
          <w:color w:val="1565C0"/>
          <w:sz w:val="28"/>
        </w:rPr>
        <w:t>Question 3: Advantages and Disadvantages of Cloud Services for ML</w:t>
      </w:r>
    </w:p>
    <w:p>
      <w:pPr>
        <w:pBdr>
          <w:bottom w:val="single" w:sz="6" w:space="1" w:color="1565C0"/>
        </w:pBdr>
        <w:spacing w:before="0" w:after="120"/>
      </w:pPr>
    </w:p>
    <w:p>
      <w:pPr>
        <w:spacing w:before="0" w:after="140" w:line="280" w:lineRule="exact"/>
        <w:jc w:val="both"/>
      </w:pPr>
      <w:r>
        <w:rPr>
          <w:rFonts w:ascii="Calibri" w:hAnsi="Calibri"/>
          <w:color w:val="212121"/>
          <w:sz w:val="22"/>
        </w:rPr>
        <w:t>Cloud computing has fundamentally transformed how machine learning applications are built, deployed, and maintained. Drawing on my experience building the bearing fault detection pipeline on AWS SageMaker, I can offer a grounded perspective on both the benefits and limitations of cloud-based ML.</w:t>
      </w:r>
    </w:p>
    <w:p>
      <w:pPr>
        <w:spacing w:before="200" w:after="80"/>
      </w:pPr>
      <w:r>
        <w:rPr>
          <w:rFonts w:ascii="Calibri" w:hAnsi="Calibri"/>
          <w:b/>
          <w:color w:val="2E7D32"/>
          <w:sz w:val="24"/>
        </w:rPr>
        <w:t>Advantages</w:t>
      </w:r>
    </w:p>
    <w:p>
      <w:pPr>
        <w:pStyle w:val="ListBullet"/>
        <w:spacing w:before="0" w:after="100"/>
      </w:pPr>
      <w:r>
        <w:rPr>
          <w:rFonts w:ascii="Calibri" w:hAnsi="Calibri"/>
          <w:b/>
          <w:color w:val="212121"/>
          <w:sz w:val="22"/>
        </w:rPr>
        <w:t xml:space="preserve">Elastic Infrastructure on Demand: </w:t>
      </w:r>
      <w:r>
        <w:rPr>
          <w:rFonts w:ascii="Calibri" w:hAnsi="Calibri"/>
          <w:color w:val="212121"/>
          <w:sz w:val="22"/>
        </w:rPr>
        <w:t>Cloud platforms like AWS SageMaker eliminate the need to purchase, configure, and maintain physical GPU servers or HPC clusters. For our bearing fault detection pipeline, deploying to an ml.m5.large SageMaker instance required no hardware provisioning — the endpoint was ready in minutes. This is especially valuable for academic and startup projects where capital investment in hardware is not feasible.</w:t>
      </w:r>
    </w:p>
    <w:p>
      <w:pPr>
        <w:pStyle w:val="ListBullet"/>
        <w:spacing w:before="0" w:after="100"/>
      </w:pPr>
      <w:r>
        <w:rPr>
          <w:rFonts w:ascii="Calibri" w:hAnsi="Calibri"/>
          <w:b/>
          <w:color w:val="212121"/>
          <w:sz w:val="22"/>
        </w:rPr>
        <w:t xml:space="preserve">Seamless Scalability: </w:t>
      </w:r>
      <w:r>
        <w:rPr>
          <w:rFonts w:ascii="Calibri" w:hAnsi="Calibri"/>
          <w:color w:val="212121"/>
          <w:sz w:val="22"/>
        </w:rPr>
        <w:t>SageMaker's auto-scaling (configured to scale between 1 and 4 instances based on invocation rate) means the system can handle a single sensor sending data or a factory floor with hundreds of machines simultaneously — without any code changes. Traditional on-premise deployments require over-provisioning to handle peak loads, wasting resources during normal operation.</w:t>
      </w:r>
    </w:p>
    <w:p>
      <w:pPr>
        <w:pStyle w:val="ListBullet"/>
        <w:spacing w:before="0" w:after="100"/>
      </w:pPr>
      <w:r>
        <w:rPr>
          <w:rFonts w:ascii="Calibri" w:hAnsi="Calibri"/>
          <w:b/>
          <w:color w:val="212121"/>
          <w:sz w:val="22"/>
        </w:rPr>
        <w:t xml:space="preserve">Integrated MLOps Tooling: </w:t>
      </w:r>
      <w:r>
        <w:rPr>
          <w:rFonts w:ascii="Calibri" w:hAnsi="Calibri"/>
          <w:color w:val="212121"/>
          <w:sz w:val="22"/>
        </w:rPr>
        <w:t>Cloud platforms provide a complete, integrated MLOps ecosystem. In this project, I used MLflow (experiment tracking), SageMaker Model Monitor (data drift and performance monitoring), CloudWatch (operational alerts), and S3 (artifact storage) — all within the same platform. This tight integration simplifies the operationalization of ML models compared to assembling equivalent on-premise tools.</w:t>
      </w:r>
    </w:p>
    <w:p>
      <w:pPr>
        <w:pStyle w:val="ListBullet"/>
        <w:spacing w:before="0" w:after="100"/>
      </w:pPr>
      <w:r>
        <w:rPr>
          <w:rFonts w:ascii="Calibri" w:hAnsi="Calibri"/>
          <w:b/>
          <w:color w:val="212121"/>
          <w:sz w:val="22"/>
        </w:rPr>
        <w:t xml:space="preserve">Collaboration and Reproducibility: </w:t>
      </w:r>
      <w:r>
        <w:rPr>
          <w:rFonts w:ascii="Calibri" w:hAnsi="Calibri"/>
          <w:color w:val="212121"/>
          <w:sz w:val="22"/>
        </w:rPr>
        <w:t>The HuggingFace Hub allows models and datasets to be shared globally with a single command (`push_to_hub`). For the bearing fault detection model, this means researchers and engineers worldwide can access the model weights, dataset, and Model Card — accelerating reproducibility and collaboration in ways that were previously not possible with locally stored models.</w:t>
      </w:r>
    </w:p>
    <w:p>
      <w:pPr>
        <w:pStyle w:val="ListBullet"/>
        <w:spacing w:before="0" w:after="100"/>
      </w:pPr>
      <w:r>
        <w:rPr>
          <w:rFonts w:ascii="Calibri" w:hAnsi="Calibri"/>
          <w:b/>
          <w:color w:val="212121"/>
          <w:sz w:val="22"/>
        </w:rPr>
        <w:t xml:space="preserve">Cost Efficiency (Variable Workloads): </w:t>
      </w:r>
      <w:r>
        <w:rPr>
          <w:rFonts w:ascii="Calibri" w:hAnsi="Calibri"/>
          <w:color w:val="212121"/>
          <w:sz w:val="22"/>
        </w:rPr>
        <w:t>Cloud providers offer pay-per-use pricing, meaning you only pay when the SageMaker endpoint is active or when training jobs run. For a predictive maintenance system that processes sensor data in short bursts, this is far more economical than running dedicated on-premise hardware 24/7.</w:t>
      </w:r>
    </w:p>
    <w:p>
      <w:pPr>
        <w:pStyle w:val="ListBullet"/>
        <w:spacing w:before="0" w:after="100"/>
      </w:pPr>
      <w:r>
        <w:rPr>
          <w:rFonts w:ascii="Calibri" w:hAnsi="Calibri"/>
          <w:b/>
          <w:color w:val="212121"/>
          <w:sz w:val="22"/>
        </w:rPr>
        <w:t xml:space="preserve">Built-In Security and Compliance: </w:t>
      </w:r>
      <w:r>
        <w:rPr>
          <w:rFonts w:ascii="Calibri" w:hAnsi="Calibri"/>
          <w:color w:val="212121"/>
          <w:sz w:val="22"/>
        </w:rPr>
        <w:t>Cloud platforms offer enterprise-grade security out of the box: IAM role-based access control, VPC network isolation, encryption at rest and in transit, and compliance certifications. Implementing equivalent security on-premise would require significant additional engineering effort.</w:t>
      </w:r>
    </w:p>
    <w:p>
      <w:pPr>
        <w:spacing w:before="200" w:after="80"/>
      </w:pPr>
      <w:r>
        <w:rPr>
          <w:rFonts w:ascii="Calibri" w:hAnsi="Calibri"/>
          <w:b/>
          <w:color w:val="2E7D32"/>
          <w:sz w:val="24"/>
        </w:rPr>
        <w:t>Disadvantages</w:t>
      </w:r>
    </w:p>
    <w:p>
      <w:pPr>
        <w:pStyle w:val="ListBullet"/>
        <w:spacing w:before="0" w:after="100"/>
      </w:pPr>
      <w:r>
        <w:rPr>
          <w:rFonts w:ascii="Calibri" w:hAnsi="Calibri"/>
          <w:b/>
          <w:color w:val="212121"/>
          <w:sz w:val="22"/>
        </w:rPr>
        <w:t xml:space="preserve">Cost at Scale: </w:t>
      </w:r>
      <w:r>
        <w:rPr>
          <w:rFonts w:ascii="Calibri" w:hAnsi="Calibri"/>
          <w:color w:val="212121"/>
          <w:sz w:val="22"/>
        </w:rPr>
        <w:t>While pay-per-use is efficient for variable workloads, costs can escalate rapidly for continuous, high-throughput inference. Running an ml.m5.large SageMaker endpoint continuously costs approximately $115/month per instance. For large-scale industrial deployments with thousands of sensors, the monthly cloud bill can become prohibitive compared to an amortized on-premise solution.</w:t>
      </w:r>
    </w:p>
    <w:p>
      <w:pPr>
        <w:pStyle w:val="ListBullet"/>
        <w:spacing w:before="0" w:after="100"/>
      </w:pPr>
      <w:r>
        <w:rPr>
          <w:rFonts w:ascii="Calibri" w:hAnsi="Calibri"/>
          <w:b/>
          <w:color w:val="212121"/>
          <w:sz w:val="22"/>
        </w:rPr>
        <w:t xml:space="preserve">Latency for Real-Time Systems: </w:t>
      </w:r>
      <w:r>
        <w:rPr>
          <w:rFonts w:ascii="Calibri" w:hAnsi="Calibri"/>
          <w:color w:val="212121"/>
          <w:sz w:val="22"/>
        </w:rPr>
        <w:t>Cloud-based ML systems introduce network latency between the sensor edge device and the cloud inference endpoint. For real-time safety-critical bearing monitoring, even a few hundred milliseconds of additional latency could be unacceptable. On-premise or edge deployments avoid this by running inference directly on local hardware, achieving sub-millisecond response times.</w:t>
      </w:r>
    </w:p>
    <w:p>
      <w:pPr>
        <w:pStyle w:val="ListBullet"/>
        <w:spacing w:before="0" w:after="100"/>
      </w:pPr>
      <w:r>
        <w:rPr>
          <w:rFonts w:ascii="Calibri" w:hAnsi="Calibri"/>
          <w:b/>
          <w:color w:val="212121"/>
          <w:sz w:val="22"/>
        </w:rPr>
        <w:t xml:space="preserve">Vendor Lock-In and Integration Complexity: </w:t>
      </w:r>
      <w:r>
        <w:rPr>
          <w:rFonts w:ascii="Calibri" w:hAnsi="Calibri"/>
          <w:color w:val="212121"/>
          <w:sz w:val="22"/>
        </w:rPr>
        <w:t>SageMaker, HuggingFace, and MLflow each have their own APIs, configuration formats, and versioning schemes. The integration points between these services require careful orchestration. Debugging issues that span multiple services — for example, a model artifact that trains correctly in MLflow but fails to load in SageMaker — is significantly more complex than debugging a local pipeline.</w:t>
      </w:r>
    </w:p>
    <w:p>
      <w:pPr>
        <w:pStyle w:val="ListBullet"/>
        <w:spacing w:before="0" w:after="100"/>
      </w:pPr>
      <w:r>
        <w:rPr>
          <w:rFonts w:ascii="Calibri" w:hAnsi="Calibri"/>
          <w:b/>
          <w:color w:val="212121"/>
          <w:sz w:val="22"/>
        </w:rPr>
        <w:t xml:space="preserve">Data Privacy and Sovereignty: </w:t>
      </w:r>
      <w:r>
        <w:rPr>
          <w:rFonts w:ascii="Calibri" w:hAnsi="Calibri"/>
          <w:color w:val="212121"/>
          <w:sz w:val="22"/>
        </w:rPr>
        <w:t>Sending industrial vibration sensor data to a cloud endpoint raises legitimate privacy and confidentiality concerns. Vibration signatures from manufacturing processes can reveal proprietary production parameters, equipment configurations, or operational rates. Organizations operating in regulated industries (defense, pharmaceuticals) may be prohibited from sending sensor data outside their network perimeter, limiting cloud adoption.</w:t>
      </w:r>
    </w:p>
    <w:p>
      <w:pPr>
        <w:pStyle w:val="ListBullet"/>
        <w:spacing w:before="0" w:after="100"/>
      </w:pPr>
      <w:r>
        <w:rPr>
          <w:rFonts w:ascii="Calibri" w:hAnsi="Calibri"/>
          <w:b/>
          <w:color w:val="212121"/>
          <w:sz w:val="22"/>
        </w:rPr>
        <w:t xml:space="preserve">Dependency on Network Connectivity: </w:t>
      </w:r>
      <w:r>
        <w:rPr>
          <w:rFonts w:ascii="Calibri" w:hAnsi="Calibri"/>
          <w:color w:val="212121"/>
          <w:sz w:val="22"/>
        </w:rPr>
        <w:t>Cloud-based ML systems require reliable internet connectivity. In remote industrial settings — offshore oil rigs, underground mines, or rural manufacturing facilities — connectivity may be intermittent or unavailable. A bearing fault detection system that fails during a connectivity outage provides no safety value precisely when it might be needed most.</w:t>
      </w:r>
    </w:p>
    <w:p>
      <w:pPr>
        <w:spacing w:before="200" w:after="80"/>
      </w:pPr>
      <w:r>
        <w:rPr>
          <w:rFonts w:ascii="Calibri" w:hAnsi="Calibri"/>
          <w:b/>
          <w:color w:val="2E7D32"/>
          <w:sz w:val="24"/>
        </w:rPr>
        <w:t>Summary Assessment</w:t>
      </w:r>
    </w:p>
    <w:p>
      <w:pPr>
        <w:spacing w:before="0" w:after="140" w:line="280" w:lineRule="exact"/>
        <w:jc w:val="both"/>
      </w:pPr>
      <w:r>
        <w:rPr>
          <w:rFonts w:ascii="Calibri" w:hAnsi="Calibri"/>
          <w:color w:val="212121"/>
          <w:sz w:val="22"/>
        </w:rPr>
        <w:t>For this project, cloud services provided significant value during the development, experimentation, and initial deployment phases. The ability to rapidly iterate with FLAML AutoML, track all experiments in MLflow, and deploy a REST endpoint on SageMaker without any infrastructure management allowed me to focus entirely on the ML problem itself.</w:t>
      </w:r>
    </w:p>
    <w:p>
      <w:pPr>
        <w:spacing w:before="0" w:after="140" w:line="280" w:lineRule="exact"/>
        <w:jc w:val="both"/>
      </w:pPr>
      <w:r>
        <w:rPr>
          <w:rFonts w:ascii="Calibri" w:hAnsi="Calibri"/>
          <w:color w:val="212121"/>
          <w:sz w:val="22"/>
        </w:rPr>
        <w:t>However, for a production industrial deployment of this bearing fault detection system, a hybrid architecture would likely be optimal: run low-latency inference on edge devices deployed near the machinery, while using cloud services for model retraining, experiment tracking, batch analytics, and model registry management. This combines the responsiveness of on-premise deployment with the scalability and collaboration benefits of the cloud.</w:t>
      </w:r>
    </w:p>
    <w:p>
      <w:pPr>
        <w:spacing w:before="0" w:after="140" w:line="280" w:lineRule="exact"/>
        <w:jc w:val="both"/>
      </w:pPr>
      <w:r>
        <w:rPr>
          <w:rFonts w:ascii="Calibri" w:hAnsi="Calibri"/>
          <w:color w:val="212121"/>
          <w:sz w:val="22"/>
        </w:rPr>
        <w:t>In conclusion, cloud services are a powerful enabler for ML development and deployment, but their adoption should be driven by the specific requirements of the application — particularly around latency, cost, data sensitivity, and connectivity — rather than treated as a universal solution.</w:t>
      </w:r>
    </w:p>
    <w:p/>
    <w:p>
      <w:pPr>
        <w:pBdr>
          <w:bottom w:val="single" w:sz="6" w:space="1" w:color="BDBDBD"/>
        </w:pBdr>
        <w:spacing w:before="0" w:after="120"/>
      </w:pPr>
    </w:p>
    <w:p>
      <w:pPr>
        <w:spacing w:before="80" w:after="0"/>
        <w:jc w:val="center"/>
      </w:pPr>
      <w:r>
        <w:rPr>
          <w:rFonts w:ascii="Calibri" w:hAnsi="Calibri"/>
          <w:color w:val="757575"/>
          <w:sz w:val="18"/>
        </w:rPr>
        <w:t>AIG130 – Project 3 Individual Reflection  |  Harpreet Singh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