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6"/>
          <w:szCs w:val="56"/>
        </w:rPr>
        <w:t xml:space="preserve">A Developer's Guide to Semgrep</w:t>
      </w:r>
    </w:p>
    <w:p>
      <w:pPr>
        <w:spacing w:after="600"/>
        <w:jc w:val="center"/>
      </w:pPr>
      <w:r>
        <w:rPr>
          <w:color w:val="555555"/>
          <w:sz w:val="32"/>
          <w:szCs w:val="32"/>
        </w:rPr>
        <w:t xml:space="preserve">Automated Security Scanning, Triage, and Remediation</w:t>
      </w:r>
    </w:p>
    <w:p>
      <w:pPr>
        <w:pBdr>
          <w:bottom w:val="single" w:color="DDDDDD" w:sz="6" w:space="1"/>
        </w:pBdr>
        <w:spacing w:after="200"/>
      </w:pPr>
    </w:p>
    <w:p>
      <w:pPr>
        <w:spacing w:after="2000"/>
        <w:jc w:val="center"/>
      </w:pPr>
      <w:r>
        <w:rPr>
          <w:color w:val="888888"/>
          <w:sz w:val="20"/>
          <w:szCs w:val="20"/>
        </w:rPr>
        <w:t xml:space="preserve">Version 1.0  |  AppSec Team  |  2026</w:t>
      </w:r>
    </w:p>
    <w:p>
      <w:r>
        <w:br w:type="page"/>
      </w:r>
    </w:p>
    <w:p>
      <w:pPr>
        <w:pStyle w:val="Heading2"/>
        <w:spacing w:after="160" w:before="400"/>
      </w:pPr>
      <w:r>
        <w:t xml:space="preserve">1. What is Semgrep?</w:t>
      </w:r>
    </w:p>
    <w:p>
      <w:pPr>
        <w:spacing w:after="160"/>
      </w:pPr>
      <w:r>
        <w:rPr>
          <w:sz w:val="22"/>
          <w:szCs w:val="22"/>
        </w:rPr>
        <w:t xml:space="preserve">Semgrep is an open-source static application security testing (SAST) and software composition analysis (SCA) tool that automatically identifies security vulnerabilities in source code and third-party dependencies. It integrates directly into the development workflow — running inside Bitbucket Pipelines on every code push — so security issues are caught before they reach production.</w:t>
      </w:r>
    </w:p>
    <w:p>
      <w:pPr>
        <w:spacing w:after="160"/>
      </w:pPr>
      <w:r>
        <w:rPr>
          <w:sz w:val="22"/>
          <w:szCs w:val="22"/>
        </w:rPr>
        <w:t xml:space="preserve">Unlike traditional security scanners, Semgrep analyses code without executing it and without uploading source files to any external server. All scanning runs entirely within the pipeline environment.</w:t>
      </w:r>
    </w:p>
    <w:p>
      <w:pPr>
        <w:spacing w:after="120"/>
      </w:pPr>
    </w:p>
    <w:p>
      <w:pPr>
        <w:pStyle w:val="Heading3"/>
        <w:spacing w:after="120" w:before="280"/>
      </w:pPr>
      <w:r>
        <w:t xml:space="preserve">What Semgrep Scans For</w:t>
      </w:r>
    </w:p>
    <w:p>
      <w:pPr>
        <w:spacing w:after="160"/>
      </w:pPr>
      <w:r>
        <w:rPr>
          <w:sz w:val="22"/>
          <w:szCs w:val="22"/>
        </w:rPr>
        <w:t xml:space="preserve">Semgrep detects three categories of security issues:</w:t>
      </w:r>
    </w:p>
    <w:p>
      <w:pPr>
        <w:pStyle w:val="ListParagraph"/>
        <w:numPr>
          <w:ilvl w:val="0"/>
          <w:numId w:val="1"/>
        </w:numPr>
        <w:spacing w:after="100"/>
      </w:pPr>
      <w:r>
        <w:rPr>
          <w:b/>
          <w:bCs/>
          <w:sz w:val="22"/>
          <w:szCs w:val="22"/>
        </w:rPr>
        <w:t xml:space="preserve">Code Vulnerabilities (SAST)</w:t>
      </w:r>
      <w:r>
        <w:rPr>
          <w:sz w:val="22"/>
          <w:szCs w:val="22"/>
        </w:rPr>
        <w:t xml:space="preserve"> – Identifies insecure coding patterns in application source code, such as SQL injection, command injection, cross-site scripting (XSS), and insecure deserialization.</w:t>
      </w:r>
    </w:p>
    <w:p>
      <w:pPr>
        <w:pStyle w:val="ListParagraph"/>
        <w:numPr>
          <w:ilvl w:val="0"/>
          <w:numId w:val="1"/>
        </w:numPr>
        <w:spacing w:after="100"/>
      </w:pPr>
      <w:r>
        <w:rPr>
          <w:b/>
          <w:bCs/>
          <w:sz w:val="22"/>
          <w:szCs w:val="22"/>
        </w:rPr>
        <w:t xml:space="preserve">Dependency Vulnerabilities (SCA)</w:t>
      </w:r>
      <w:r>
        <w:rPr>
          <w:sz w:val="22"/>
          <w:szCs w:val="22"/>
        </w:rPr>
        <w:t xml:space="preserve"> – Analyses open-source libraries and packages declared in the project for known CVEs (Common Vulnerabilities and Exposures).</w:t>
      </w:r>
    </w:p>
    <w:p>
      <w:pPr>
        <w:pStyle w:val="ListParagraph"/>
        <w:numPr>
          <w:ilvl w:val="0"/>
          <w:numId w:val="1"/>
        </w:numPr>
        <w:spacing w:after="100"/>
      </w:pPr>
      <w:r>
        <w:rPr>
          <w:b/>
          <w:bCs/>
          <w:sz w:val="22"/>
          <w:szCs w:val="22"/>
        </w:rPr>
        <w:t xml:space="preserve">Secrets Detection</w:t>
      </w:r>
      <w:r>
        <w:rPr>
          <w:sz w:val="22"/>
          <w:szCs w:val="22"/>
        </w:rPr>
        <w:t xml:space="preserve"> – Flags hardcoded credentials, API keys, tokens, and passwords accidentally committed to the codebase.</w:t>
      </w:r>
    </w:p>
    <w:p>
      <w:pPr>
        <w:spacing w:after="120"/>
      </w:pPr>
    </w:p>
    <w:tbl>
      <w:tblPr>
        <w:tblW w:type="dxa" w:w="936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c>
          <w:tcPr>
            <w:tcW w:type="dxa" w:w="9360"/>
            <w:shd w:fill="FFF3CD" w:color="auto" w:val="clear"/>
            <w:tcMar>
              <w:top w:type="dxa" w:w="100"/>
              <w:left w:type="dxa" w:w="150"/>
              <w:bottom w:type="dxa" w:w="100"/>
              <w:right w:type="dxa" w:w="150"/>
            </w:tcMar>
          </w:tcPr>
          <w:p>
            <w:pPr>
              <w:spacing w:after="60"/>
            </w:pPr>
            <w:r>
              <w:rPr>
                <w:b/>
                <w:bCs/>
                <w:sz w:val="20"/>
                <w:szCs w:val="20"/>
              </w:rPr>
              <w:t xml:space="preserve">⚠  Important</w:t>
            </w:r>
          </w:p>
          <w:p>
            <w:r>
              <w:rPr>
                <w:sz w:val="20"/>
                <w:szCs w:val="20"/>
              </w:rPr>
              <w:t xml:space="preserve">Source code is never uploaded to Semgrep servers. Scanning runs locally within the Bitbucket Pipeline environment.</w:t>
            </w:r>
          </w:p>
        </w:tc>
      </w:tr>
    </w:tbl>
    <w:p>
      <w:pPr>
        <w:spacing w:after="120"/>
      </w:pPr>
    </w:p>
    <w:p>
      <w:pPr>
        <w:pBdr>
          <w:bottom w:val="single" w:color="DDDDDD" w:sz="6" w:space="1"/>
        </w:pBdr>
        <w:spacing w:after="200"/>
      </w:pPr>
    </w:p>
    <w:p>
      <w:pPr>
        <w:pStyle w:val="Heading2"/>
        <w:spacing w:after="160" w:before="400"/>
      </w:pPr>
      <w:r>
        <w:t xml:space="preserve">2. How It Works in the Workflow</w:t>
      </w:r>
    </w:p>
    <w:p>
      <w:pPr>
        <w:spacing w:after="160"/>
      </w:pPr>
      <w:r>
        <w:rPr>
          <w:sz w:val="22"/>
          <w:szCs w:val="22"/>
        </w:rPr>
        <w:t xml:space="preserve">Semgrep integrates into the development workflow through Bitbucket Pipelines. A configuration file (bitbucket-pipelines.yml) in the repository instructs Bitbucket to run a Semgrep scan automatically whenever code is pushed. No manual steps are required from developers — the scan triggers in the background and results appear in the Semgrep Cloud dashboard.</w:t>
      </w:r>
    </w:p>
    <w:p>
      <w:pPr>
        <w:spacing w:after="120"/>
      </w:pPr>
    </w:p>
    <w:p>
      <w:pPr>
        <w:pStyle w:val="Heading3"/>
        <w:spacing w:after="120" w:before="280"/>
      </w:pPr>
      <w:r>
        <w:t xml:space="preserve">Scan Trigger Flow</w:t>
      </w:r>
    </w:p>
    <w:p>
      <w:pPr>
        <w:pStyle w:val="ListParagraph"/>
        <w:numPr>
          <w:ilvl w:val="0"/>
          <w:numId w:val="2"/>
        </w:numPr>
        <w:spacing w:after="100"/>
      </w:pPr>
      <w:r>
        <w:rPr>
          <w:sz w:val="22"/>
          <w:szCs w:val="22"/>
        </w:rPr>
        <w:t xml:space="preserve">Developer pushes code or opens a pull request in Bitbucket</w:t>
      </w:r>
    </w:p>
    <w:p>
      <w:pPr>
        <w:pStyle w:val="ListParagraph"/>
        <w:numPr>
          <w:ilvl w:val="0"/>
          <w:numId w:val="2"/>
        </w:numPr>
        <w:spacing w:after="100"/>
      </w:pPr>
      <w:r>
        <w:rPr>
          <w:sz w:val="22"/>
          <w:szCs w:val="22"/>
        </w:rPr>
        <w:t xml:space="preserve">Bitbucket Pipelines detects the push and starts the pipeline</w:t>
      </w:r>
    </w:p>
    <w:p>
      <w:pPr>
        <w:pStyle w:val="ListParagraph"/>
        <w:numPr>
          <w:ilvl w:val="0"/>
          <w:numId w:val="2"/>
        </w:numPr>
        <w:spacing w:after="100"/>
      </w:pPr>
      <w:r>
        <w:rPr>
          <w:sz w:val="22"/>
          <w:szCs w:val="22"/>
        </w:rPr>
        <w:t xml:space="preserve">The pipeline pulls the semgrep/semgrep Docker image</w:t>
      </w:r>
    </w:p>
    <w:p>
      <w:pPr>
        <w:pStyle w:val="ListParagraph"/>
        <w:numPr>
          <w:ilvl w:val="0"/>
          <w:numId w:val="2"/>
        </w:numPr>
        <w:spacing w:after="100"/>
      </w:pPr>
      <w:r>
        <w:rPr>
          <w:sz w:val="22"/>
          <w:szCs w:val="22"/>
        </w:rPr>
        <w:t xml:space="preserve">Semgrep runs semgrep ci using the SEMGREP_APP_TOKEN stored as a repository variable</w:t>
      </w:r>
    </w:p>
    <w:p>
      <w:pPr>
        <w:pStyle w:val="ListParagraph"/>
        <w:numPr>
          <w:ilvl w:val="0"/>
          <w:numId w:val="2"/>
        </w:numPr>
        <w:spacing w:after="100"/>
      </w:pPr>
      <w:r>
        <w:rPr>
          <w:sz w:val="22"/>
          <w:szCs w:val="22"/>
        </w:rPr>
        <w:t xml:space="preserve">Findings are sent to the Semgrep Cloud dashboard</w:t>
      </w:r>
    </w:p>
    <w:p>
      <w:pPr>
        <w:pStyle w:val="ListParagraph"/>
        <w:numPr>
          <w:ilvl w:val="0"/>
          <w:numId w:val="2"/>
        </w:numPr>
        <w:spacing w:after="100"/>
      </w:pPr>
      <w:r>
        <w:rPr>
          <w:sz w:val="22"/>
          <w:szCs w:val="22"/>
        </w:rPr>
        <w:t xml:space="preserve">The pipeline passes or fails based on the security policy</w:t>
      </w:r>
    </w:p>
    <w:p>
      <w:pPr>
        <w:spacing w:after="120"/>
      </w:pPr>
    </w:p>
    <w:p>
      <w:pPr>
        <w:pStyle w:val="Heading3"/>
        <w:spacing w:after="120" w:before="280"/>
      </w:pPr>
      <w:r>
        <w:t xml:space="preserve">Diff-Aware Scanning</w:t>
      </w:r>
    </w:p>
    <w:p>
      <w:pPr>
        <w:spacing w:after="160"/>
      </w:pPr>
      <w:r>
        <w:rPr>
          <w:sz w:val="22"/>
          <w:szCs w:val="22"/>
        </w:rPr>
        <w:t xml:space="preserve">When a pull request is raised, Semgrep performs diff-aware scanning — only the files changed in that PR are scanned, not the entire codebase. This keeps pipeline run times short. Full scans run on pushes to the master branch.</w:t>
      </w:r>
    </w:p>
    <w:p>
      <w:pPr>
        <w:spacing w:after="120"/>
      </w:pPr>
    </w:p>
    <w:p>
      <w:pPr>
        <w:pStyle w:val="Heading3"/>
        <w:spacing w:after="120" w:before="280"/>
      </w:pPr>
      <w:r>
        <w:t xml:space="preserve">Pipeline Configuration</w:t>
      </w:r>
    </w:p>
    <w:p>
      <w:pPr>
        <w:spacing w:after="160"/>
      </w:pPr>
      <w:r>
        <w:rPr>
          <w:sz w:val="22"/>
          <w:szCs w:val="22"/>
        </w:rPr>
        <w:t xml:space="preserve">The following bitbucket-pipelines.yml file triggers Semgrep on every push to master and on manual runs:</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pipelines:</w:t>
            </w:r>
          </w:p>
          <w:p>
            <w:pPr>
              <w:spacing w:after="40"/>
            </w:pPr>
            <w:r>
              <w:rPr>
                <w:rFonts w:ascii="Courier New" w:cs="Courier New" w:eastAsia="Courier New" w:hAnsi="Courier New"/>
                <w:color w:val="D4D4D4"/>
                <w:sz w:val="18"/>
                <w:szCs w:val="18"/>
              </w:rPr>
              <w:t xml:space="preserve">  branches:</w:t>
            </w:r>
          </w:p>
          <w:p>
            <w:pPr>
              <w:spacing w:after="40"/>
            </w:pPr>
            <w:r>
              <w:rPr>
                <w:rFonts w:ascii="Courier New" w:cs="Courier New" w:eastAsia="Courier New" w:hAnsi="Courier New"/>
                <w:color w:val="D4D4D4"/>
                <w:sz w:val="18"/>
                <w:szCs w:val="18"/>
              </w:rPr>
              <w:t xml:space="preserve">    master:</w:t>
            </w:r>
          </w:p>
          <w:p>
            <w:pPr>
              <w:spacing w:after="40"/>
            </w:pPr>
            <w:r>
              <w:rPr>
                <w:rFonts w:ascii="Courier New" w:cs="Courier New" w:eastAsia="Courier New" w:hAnsi="Courier New"/>
                <w:color w:val="D4D4D4"/>
                <w:sz w:val="18"/>
                <w:szCs w:val="18"/>
              </w:rPr>
              <w:t xml:space="preserve">      - step:</w:t>
            </w:r>
          </w:p>
          <w:p>
            <w:pPr>
              <w:spacing w:after="40"/>
            </w:pPr>
            <w:r>
              <w:rPr>
                <w:rFonts w:ascii="Courier New" w:cs="Courier New" w:eastAsia="Courier New" w:hAnsi="Courier New"/>
                <w:color w:val="D4D4D4"/>
                <w:sz w:val="18"/>
                <w:szCs w:val="18"/>
              </w:rPr>
              <w:t xml:space="preserve">          name: Semgrep Scan</w:t>
            </w:r>
          </w:p>
          <w:p>
            <w:pPr>
              <w:spacing w:after="40"/>
            </w:pPr>
            <w:r>
              <w:rPr>
                <w:rFonts w:ascii="Courier New" w:cs="Courier New" w:eastAsia="Courier New" w:hAnsi="Courier New"/>
                <w:color w:val="D4D4D4"/>
                <w:sz w:val="18"/>
                <w:szCs w:val="18"/>
              </w:rPr>
              <w:t xml:space="preserve">          image: semgrep/semgrep</w:t>
            </w:r>
          </w:p>
          <w:p>
            <w:pPr>
              <w:spacing w:after="40"/>
            </w:pPr>
            <w:r>
              <w:rPr>
                <w:rFonts w:ascii="Courier New" w:cs="Courier New" w:eastAsia="Courier New" w:hAnsi="Courier New"/>
                <w:color w:val="D4D4D4"/>
                <w:sz w:val="18"/>
                <w:szCs w:val="18"/>
              </w:rPr>
              <w:t xml:space="preserve">          script:</w:t>
            </w:r>
          </w:p>
          <w:p>
            <w:pPr>
              <w:spacing w:after="40"/>
            </w:pPr>
            <w:r>
              <w:rPr>
                <w:rFonts w:ascii="Courier New" w:cs="Courier New" w:eastAsia="Courier New" w:hAnsi="Courier New"/>
                <w:color w:val="D4D4D4"/>
                <w:sz w:val="18"/>
                <w:szCs w:val="18"/>
              </w:rPr>
              <w:t xml:space="preserve">            - semgrep ci</w:t>
            </w:r>
          </w:p>
          <w:p>
            <w:pPr>
              <w:spacing w:after="40"/>
            </w:pPr>
            <w:r>
              <w:rPr>
                <w:rFonts w:ascii="Courier New" w:cs="Courier New" w:eastAsia="Courier New" w:hAnsi="Courier New"/>
                <w:color w:val="D4D4D4"/>
                <w:sz w:val="18"/>
                <w:szCs w:val="18"/>
              </w:rPr>
              <w:t xml:space="preserve">  custom:</w:t>
            </w:r>
          </w:p>
          <w:p>
            <w:pPr>
              <w:spacing w:after="40"/>
            </w:pPr>
            <w:r>
              <w:rPr>
                <w:rFonts w:ascii="Courier New" w:cs="Courier New" w:eastAsia="Courier New" w:hAnsi="Courier New"/>
                <w:color w:val="D4D4D4"/>
                <w:sz w:val="18"/>
                <w:szCs w:val="18"/>
              </w:rPr>
              <w:t xml:space="preserve">    semgrep-manual:</w:t>
            </w:r>
          </w:p>
          <w:p>
            <w:pPr>
              <w:spacing w:after="40"/>
            </w:pPr>
            <w:r>
              <w:rPr>
                <w:rFonts w:ascii="Courier New" w:cs="Courier New" w:eastAsia="Courier New" w:hAnsi="Courier New"/>
                <w:color w:val="D4D4D4"/>
                <w:sz w:val="18"/>
                <w:szCs w:val="18"/>
              </w:rPr>
              <w:t xml:space="preserve">      - step:</w:t>
            </w:r>
          </w:p>
          <w:p>
            <w:pPr>
              <w:spacing w:after="40"/>
            </w:pPr>
            <w:r>
              <w:rPr>
                <w:rFonts w:ascii="Courier New" w:cs="Courier New" w:eastAsia="Courier New" w:hAnsi="Courier New"/>
                <w:color w:val="D4D4D4"/>
                <w:sz w:val="18"/>
                <w:szCs w:val="18"/>
              </w:rPr>
              <w:t xml:space="preserve">          name: Semgrep Manual Scan</w:t>
            </w:r>
          </w:p>
          <w:p>
            <w:pPr>
              <w:spacing w:after="40"/>
            </w:pPr>
            <w:r>
              <w:rPr>
                <w:rFonts w:ascii="Courier New" w:cs="Courier New" w:eastAsia="Courier New" w:hAnsi="Courier New"/>
                <w:color w:val="D4D4D4"/>
                <w:sz w:val="18"/>
                <w:szCs w:val="18"/>
              </w:rPr>
              <w:t xml:space="preserve">          image: semgrep/semgrep</w:t>
            </w:r>
          </w:p>
          <w:p>
            <w:pPr>
              <w:spacing w:after="40"/>
            </w:pPr>
            <w:r>
              <w:rPr>
                <w:rFonts w:ascii="Courier New" w:cs="Courier New" w:eastAsia="Courier New" w:hAnsi="Courier New"/>
                <w:color w:val="D4D4D4"/>
                <w:sz w:val="18"/>
                <w:szCs w:val="18"/>
              </w:rPr>
              <w:t xml:space="preserve">          script:</w:t>
            </w:r>
          </w:p>
          <w:p>
            <w:pPr>
              <w:spacing w:after="40"/>
            </w:pPr>
            <w:r>
              <w:rPr>
                <w:rFonts w:ascii="Courier New" w:cs="Courier New" w:eastAsia="Courier New" w:hAnsi="Courier New"/>
                <w:color w:val="D4D4D4"/>
                <w:sz w:val="18"/>
                <w:szCs w:val="18"/>
              </w:rPr>
              <w:t xml:space="preserve">            - semgrep ci</w:t>
            </w:r>
          </w:p>
        </w:tc>
      </w:tr>
    </w:tbl>
    <w:p>
      <w:pPr>
        <w:spacing w:after="120"/>
      </w:pPr>
    </w:p>
    <w:p>
      <w:pPr>
        <w:pStyle w:val="Heading3"/>
        <w:spacing w:after="120" w:before="280"/>
      </w:pPr>
      <w:r>
        <w:t xml:space="preserve">Semgrep Findings in a Pull Request</w:t>
      </w:r>
    </w:p>
    <w:p>
      <w:pPr>
        <w:spacing w:after="160"/>
      </w:pPr>
      <w:r>
        <w:rPr>
          <w:sz w:val="22"/>
          <w:szCs w:val="22"/>
        </w:rPr>
        <w:t xml:space="preserve">When Semgrep detects issues in a pull request, it posts a comment directly on the PR. Each PR comment contains the following labelled sections:</w:t>
      </w:r>
    </w:p>
    <w:p>
      <w:pPr>
        <w:pStyle w:val="ListParagraph"/>
        <w:numPr>
          <w:ilvl w:val="0"/>
          <w:numId w:val="1"/>
        </w:numPr>
        <w:spacing w:after="100"/>
      </w:pPr>
      <w:r>
        <w:rPr>
          <w:b/>
          <w:bCs/>
          <w:sz w:val="22"/>
          <w:szCs w:val="22"/>
        </w:rPr>
        <w:t xml:space="preserve">A – Block indicator</w:t>
      </w:r>
      <w:r>
        <w:rPr>
          <w:sz w:val="22"/>
          <w:szCs w:val="22"/>
        </w:rPr>
        <w:t xml:space="preserve"> – Appears when a finding fails the CI job. Critical and High severity findings are configured to block merges.</w:t>
      </w:r>
    </w:p>
    <w:p>
      <w:pPr>
        <w:pStyle w:val="ListParagraph"/>
        <w:numPr>
          <w:ilvl w:val="0"/>
          <w:numId w:val="1"/>
        </w:numPr>
        <w:spacing w:after="100"/>
      </w:pPr>
      <w:r>
        <w:rPr>
          <w:b/>
          <w:bCs/>
          <w:sz w:val="22"/>
          <w:szCs w:val="22"/>
        </w:rPr>
        <w:t xml:space="preserve">B – Finding description</w:t>
      </w:r>
      <w:r>
        <w:rPr>
          <w:sz w:val="22"/>
          <w:szCs w:val="22"/>
        </w:rPr>
        <w:t xml:space="preserve"> – A human-written description explaining why the code was flagged, with references and links.</w:t>
      </w:r>
    </w:p>
    <w:p>
      <w:pPr>
        <w:pStyle w:val="ListParagraph"/>
        <w:numPr>
          <w:ilvl w:val="0"/>
          <w:numId w:val="1"/>
        </w:numPr>
        <w:spacing w:after="100"/>
      </w:pPr>
      <w:r>
        <w:rPr>
          <w:b/>
          <w:bCs/>
          <w:sz w:val="22"/>
          <w:szCs w:val="22"/>
        </w:rPr>
        <w:t xml:space="preserve">C – Dataflow graph</w:t>
      </w:r>
      <w:r>
        <w:rPr>
          <w:sz w:val="22"/>
          <w:szCs w:val="22"/>
        </w:rPr>
        <w:t xml:space="preserve"> – Shows lines of code identifying sources, sinks, and the trace of unsanitised data. Clicking the links navigates directly to those lines.</w:t>
      </w:r>
    </w:p>
    <w:p>
      <w:pPr>
        <w:pStyle w:val="ListParagraph"/>
        <w:numPr>
          <w:ilvl w:val="0"/>
          <w:numId w:val="1"/>
        </w:numPr>
        <w:spacing w:after="100"/>
      </w:pPr>
      <w:r>
        <w:rPr>
          <w:b/>
          <w:bCs/>
          <w:sz w:val="22"/>
          <w:szCs w:val="22"/>
        </w:rPr>
        <w:t xml:space="preserve">D – Remediation section</w:t>
      </w:r>
      <w:r>
        <w:rPr>
          <w:sz w:val="22"/>
          <w:szCs w:val="22"/>
        </w:rPr>
        <w:t xml:space="preserve"> – Step-by-step instructions to resolve the finding. Resolution steps vary depending on the finding type.</w:t>
      </w:r>
    </w:p>
    <w:p>
      <w:pPr>
        <w:pStyle w:val="ListParagraph"/>
        <w:numPr>
          <w:ilvl w:val="0"/>
          <w:numId w:val="1"/>
        </w:numPr>
        <w:spacing w:after="100"/>
      </w:pPr>
      <w:r>
        <w:rPr>
          <w:b/>
          <w:bCs/>
          <w:sz w:val="22"/>
          <w:szCs w:val="22"/>
        </w:rPr>
        <w:t xml:space="preserve">E – Ignore instructions</w:t>
      </w:r>
      <w:r>
        <w:rPr>
          <w:sz w:val="22"/>
          <w:szCs w:val="22"/>
        </w:rPr>
        <w:t xml:space="preserve"> – Instructions for ignoring the finding — used when a finding is a confirmed false positive.</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PR comment with A–E annotated sections (Source: docs.semgrep.dev) ]</w:t>
            </w:r>
          </w:p>
        </w:tc>
      </w:tr>
    </w:tbl>
    <w:p>
      <w:pPr>
        <w:spacing w:after="120"/>
      </w:pPr>
    </w:p>
    <w:p>
      <w:pPr>
        <w:pBdr>
          <w:bottom w:val="single" w:color="DDDDDD" w:sz="6" w:space="1"/>
        </w:pBdr>
        <w:spacing w:after="200"/>
      </w:pPr>
    </w:p>
    <w:p>
      <w:pPr>
        <w:pStyle w:val="Heading2"/>
        <w:spacing w:after="160" w:before="400"/>
      </w:pPr>
      <w:r>
        <w:t xml:space="preserve">3. Semgrep CLI</w:t>
      </w:r>
    </w:p>
    <w:p>
      <w:pPr>
        <w:spacing w:after="160"/>
      </w:pPr>
      <w:r>
        <w:rPr>
          <w:sz w:val="22"/>
          <w:szCs w:val="22"/>
        </w:rPr>
        <w:t xml:space="preserve">The Semgrep CLI allows developers to run security scans directly from the terminal or from within VS Code, without waiting for a pipeline to run. It is useful for scanning code locally before pushing changes.</w:t>
      </w:r>
    </w:p>
    <w:p>
      <w:pPr>
        <w:spacing w:after="120"/>
      </w:pPr>
    </w:p>
    <w:p>
      <w:pPr>
        <w:pStyle w:val="Heading3"/>
        <w:spacing w:after="120" w:before="280"/>
      </w:pPr>
      <w:r>
        <w:t xml:space="preserve">Prerequisites</w:t>
      </w:r>
    </w:p>
    <w:tbl>
      <w:tblPr>
        <w:tblW w:type="dxa" w:w="936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c>
          <w:tcPr>
            <w:tcW w:type="dxa" w:w="9360"/>
            <w:shd w:fill="FFF3CD" w:color="auto" w:val="clear"/>
            <w:tcMar>
              <w:top w:type="dxa" w:w="100"/>
              <w:left w:type="dxa" w:w="150"/>
              <w:bottom w:type="dxa" w:w="100"/>
              <w:right w:type="dxa" w:w="150"/>
            </w:tcMar>
          </w:tcPr>
          <w:p>
            <w:pPr>
              <w:spacing w:after="60"/>
            </w:pPr>
            <w:r>
              <w:rPr>
                <w:b/>
                <w:bCs/>
                <w:sz w:val="20"/>
                <w:szCs w:val="20"/>
              </w:rPr>
              <w:t xml:space="preserve">⚠  Important</w:t>
            </w:r>
          </w:p>
          <w:p>
            <w:r>
              <w:rPr>
                <w:sz w:val="20"/>
                <w:szCs w:val="20"/>
              </w:rPr>
              <w:t xml:space="preserve">Python 3.10 or later must be installed. During Python installation on Windows, check the box to add python.exe to PATH.</w:t>
            </w:r>
          </w:p>
        </w:tc>
      </w:tr>
    </w:tbl>
    <w:p>
      <w:pPr>
        <w:spacing w:after="120"/>
      </w:pPr>
    </w:p>
    <w:p>
      <w:pPr>
        <w:pStyle w:val="Heading3"/>
        <w:spacing w:after="120" w:before="280"/>
      </w:pPr>
      <w:r>
        <w:t xml:space="preserve">Installation</w:t>
      </w:r>
    </w:p>
    <w:p>
      <w:pPr>
        <w:spacing w:after="160"/>
      </w:pPr>
      <w:r>
        <w:rPr>
          <w:sz w:val="22"/>
          <w:szCs w:val="22"/>
        </w:rPr>
        <w:t xml:space="preserve">Open Command Prompt or PowerShell and run:</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python -m pip install semgrep</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Verify installation</w:t>
            </w:r>
          </w:p>
          <w:p>
            <w:pPr>
              <w:spacing w:after="40"/>
            </w:pPr>
            <w:r>
              <w:rPr>
                <w:rFonts w:ascii="Courier New" w:cs="Courier New" w:eastAsia="Courier New" w:hAnsi="Courier New"/>
                <w:color w:val="D4D4D4"/>
                <w:sz w:val="18"/>
                <w:szCs w:val="18"/>
              </w:rPr>
              <w:t xml:space="preserve">semgrep --version</w:t>
            </w:r>
          </w:p>
        </w:tc>
      </w:tr>
    </w:tbl>
    <w:p>
      <w:pPr>
        <w:spacing w:after="120"/>
      </w:pPr>
    </w:p>
    <w:p>
      <w:pPr>
        <w:pStyle w:val="Heading3"/>
        <w:spacing w:after="120" w:before="280"/>
      </w:pPr>
      <w:r>
        <w:t xml:space="preserve">Authentication</w:t>
      </w:r>
    </w:p>
    <w:p>
      <w:pPr>
        <w:spacing w:after="160"/>
      </w:pPr>
      <w:r>
        <w:rPr>
          <w:sz w:val="22"/>
          <w:szCs w:val="22"/>
        </w:rPr>
        <w:t xml:space="preserve">Run the following command to link the CLI to the Semgrep Cloud account:</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semgrep login</w:t>
            </w:r>
          </w:p>
        </w:tc>
      </w:tr>
    </w:tbl>
    <w:p>
      <w:pPr>
        <w:spacing w:after="120"/>
      </w:pPr>
    </w:p>
    <w:p>
      <w:pPr>
        <w:spacing w:after="160"/>
      </w:pPr>
      <w:r>
        <w:rPr>
          <w:sz w:val="22"/>
          <w:szCs w:val="22"/>
        </w:rPr>
        <w:t xml:space="preserve">This opens a browser window. Click Activate to complete authentication. The token is saved locally and only needs to be set up once.</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Terminal showing semgrep login command and 'Saved login token' confirmation ]</w:t>
            </w:r>
          </w:p>
        </w:tc>
      </w:tr>
    </w:tbl>
    <w:p>
      <w:pPr>
        <w:spacing w:after="120"/>
      </w:pPr>
    </w:p>
    <w:p>
      <w:pPr>
        <w:pStyle w:val="Heading3"/>
        <w:spacing w:after="120" w:before="280"/>
      </w:pPr>
      <w:r>
        <w:t xml:space="preserve">Running a Scan</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 Navigate to the project folder</w:t>
            </w:r>
          </w:p>
          <w:p>
            <w:pPr>
              <w:spacing w:after="40"/>
            </w:pPr>
            <w:r>
              <w:rPr>
                <w:rFonts w:ascii="Courier New" w:cs="Courier New" w:eastAsia="Courier New" w:hAnsi="Courier New"/>
                <w:color w:val="D4D4D4"/>
                <w:sz w:val="18"/>
                <w:szCs w:val="18"/>
              </w:rPr>
              <w:t xml:space="preserve">cd C:\path\to\project</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Run a local scan</w:t>
            </w:r>
          </w:p>
          <w:p>
            <w:pPr>
              <w:spacing w:after="40"/>
            </w:pPr>
            <w:r>
              <w:rPr>
                <w:rFonts w:ascii="Courier New" w:cs="Courier New" w:eastAsia="Courier New" w:hAnsi="Courier New"/>
                <w:color w:val="D4D4D4"/>
                <w:sz w:val="18"/>
                <w:szCs w:val="18"/>
              </w:rPr>
              <w:t xml:space="preserve">semgrep scan --config auto .</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Run a CI scan (sends results to Semgrep Cloud)</w:t>
            </w:r>
          </w:p>
          <w:p>
            <w:pPr>
              <w:spacing w:after="40"/>
            </w:pPr>
            <w:r>
              <w:rPr>
                <w:rFonts w:ascii="Courier New" w:cs="Courier New" w:eastAsia="Courier New" w:hAnsi="Courier New"/>
                <w:color w:val="D4D4D4"/>
                <w:sz w:val="18"/>
                <w:szCs w:val="18"/>
              </w:rPr>
              <w:t xml:space="preserve">semgrep ci</w:t>
            </w:r>
          </w:p>
        </w:tc>
      </w:tr>
    </w:tbl>
    <w:p>
      <w:pPr>
        <w:spacing w:after="120"/>
      </w:pPr>
    </w:p>
    <w:p>
      <w:pPr>
        <w:pStyle w:val="Heading3"/>
        <w:spacing w:after="120" w:before="280"/>
      </w:pPr>
      <w:r>
        <w:t xml:space="preserve">Sample Output</w:t>
      </w: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Terminal output showing scan results — findings listed with severity, rule name, and file location ]</w:t>
            </w:r>
          </w:p>
        </w:tc>
      </w:tr>
    </w:tbl>
    <w:p>
      <w:pPr>
        <w:spacing w:after="120"/>
      </w:pPr>
    </w:p>
    <w:tbl>
      <w:tblPr>
        <w:tblW w:type="dxa" w:w="9360"/>
        <w:tblBorders>
          <w:top w:val="single" w:color="2E5F8A" w:sz="4"/>
          <w:left w:val="single" w:color="2E5F8A" w:sz="4"/>
          <w:bottom w:val="single" w:color="2E5F8A" w:sz="4"/>
          <w:right w:val="single" w:color="2E5F8A" w:sz="4"/>
          <w:insideH w:val="single" w:color="auto" w:sz="4"/>
          <w:insideV w:val="single" w:color="auto" w:sz="4"/>
        </w:tblBorders>
      </w:tblPr>
      <w:tblGrid>
        <w:gridCol w:w="100"/>
      </w:tblGrid>
      <w:tr>
        <w:tc>
          <w:tcPr>
            <w:tcW w:type="dxa" w:w="9360"/>
            <w:shd w:fill="D6E4F0" w:color="auto" w:val="clear"/>
            <w:tcMar>
              <w:top w:type="dxa" w:w="100"/>
              <w:left w:type="dxa" w:w="150"/>
              <w:bottom w:type="dxa" w:w="100"/>
              <w:right w:type="dxa" w:w="150"/>
            </w:tcMar>
          </w:tcPr>
          <w:p>
            <w:pPr>
              <w:spacing w:after="60"/>
            </w:pPr>
            <w:r>
              <w:rPr>
                <w:b/>
                <w:bCs/>
                <w:sz w:val="20"/>
                <w:szCs w:val="20"/>
              </w:rPr>
              <w:t xml:space="preserve">ⓘ  Note</w:t>
            </w:r>
          </w:p>
          <w:p>
            <w:r>
              <w:rPr>
                <w:sz w:val="20"/>
                <w:szCs w:val="20"/>
              </w:rPr>
              <w:t xml:space="preserve">Source code is never uploaded. Only findings are sent to Semgrep AppSec Platform.</w:t>
            </w:r>
          </w:p>
        </w:tc>
      </w:tr>
    </w:tbl>
    <w:p>
      <w:pPr>
        <w:spacing w:after="120"/>
      </w:pPr>
    </w:p>
    <w:p>
      <w:pPr>
        <w:pBdr>
          <w:bottom w:val="single" w:color="DDDDDD" w:sz="6" w:space="1"/>
        </w:pBdr>
        <w:spacing w:after="200"/>
      </w:pPr>
    </w:p>
    <w:p>
      <w:pPr>
        <w:pStyle w:val="Heading2"/>
        <w:spacing w:after="160" w:before="400"/>
      </w:pPr>
      <w:r>
        <w:t xml:space="preserve">4. Semgrep in VS Code</w:t>
      </w:r>
    </w:p>
    <w:p>
      <w:pPr>
        <w:spacing w:after="160"/>
      </w:pPr>
      <w:r>
        <w:rPr>
          <w:sz w:val="22"/>
          <w:szCs w:val="22"/>
        </w:rPr>
        <w:t xml:space="preserve">The Semgrep VS Code extension allows developers to scan code for security vulnerabilities directly in the editor, without running a pipeline or opening a terminal. Findings appear as inline highlights on the affected lines as code is written.</w:t>
      </w:r>
    </w:p>
    <w:p>
      <w:pPr>
        <w:spacing w:after="120"/>
      </w:pPr>
    </w:p>
    <w:p>
      <w:pPr>
        <w:pStyle w:val="Heading3"/>
        <w:spacing w:after="120" w:before="280"/>
      </w:pPr>
      <w:r>
        <w:t xml:space="preserve">Installing the Extension</w:t>
      </w:r>
    </w:p>
    <w:p>
      <w:pPr>
        <w:pStyle w:val="ListParagraph"/>
        <w:numPr>
          <w:ilvl w:val="0"/>
          <w:numId w:val="2"/>
        </w:numPr>
        <w:spacing w:after="100"/>
      </w:pPr>
      <w:r>
        <w:rPr>
          <w:sz w:val="22"/>
          <w:szCs w:val="22"/>
        </w:rPr>
        <w:t xml:space="preserve">Open VS Code</w:t>
      </w:r>
    </w:p>
    <w:p>
      <w:pPr>
        <w:pStyle w:val="ListParagraph"/>
        <w:numPr>
          <w:ilvl w:val="0"/>
          <w:numId w:val="2"/>
        </w:numPr>
        <w:spacing w:after="100"/>
      </w:pPr>
      <w:r>
        <w:rPr>
          <w:sz w:val="22"/>
          <w:szCs w:val="22"/>
        </w:rPr>
        <w:t xml:space="preserve">Click the Extensions icon in the left sidebar (or press Ctrl+Shift+X)</w:t>
      </w:r>
    </w:p>
    <w:p>
      <w:pPr>
        <w:pStyle w:val="ListParagraph"/>
        <w:numPr>
          <w:ilvl w:val="0"/>
          <w:numId w:val="2"/>
        </w:numPr>
        <w:spacing w:after="100"/>
      </w:pPr>
      <w:r>
        <w:rPr>
          <w:sz w:val="22"/>
          <w:szCs w:val="22"/>
        </w:rPr>
        <w:t xml:space="preserve">Search for "Semgrep"</w:t>
      </w:r>
    </w:p>
    <w:p>
      <w:pPr>
        <w:pStyle w:val="ListParagraph"/>
        <w:numPr>
          <w:ilvl w:val="0"/>
          <w:numId w:val="2"/>
        </w:numPr>
        <w:spacing w:after="100"/>
      </w:pPr>
      <w:r>
        <w:rPr>
          <w:sz w:val="22"/>
          <w:szCs w:val="22"/>
        </w:rPr>
        <w:t xml:space="preserve">Click Install</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VS Code Extensions marketplace showing Semgrep search result and Install button ]</w:t>
            </w:r>
          </w:p>
        </w:tc>
      </w:tr>
    </w:tbl>
    <w:p>
      <w:pPr>
        <w:spacing w:after="120"/>
      </w:pPr>
    </w:p>
    <w:p>
      <w:pPr>
        <w:pStyle w:val="Heading3"/>
        <w:spacing w:after="120" w:before="280"/>
      </w:pPr>
      <w:r>
        <w:t xml:space="preserve">Signing In</w:t>
      </w:r>
    </w:p>
    <w:p>
      <w:pPr>
        <w:spacing w:after="160"/>
      </w:pPr>
      <w:r>
        <w:rPr>
          <w:sz w:val="22"/>
          <w:szCs w:val="22"/>
        </w:rPr>
        <w:t xml:space="preserve">After installation, Semgrep will prompt to sign in:</w:t>
      </w:r>
    </w:p>
    <w:p>
      <w:pPr>
        <w:pStyle w:val="ListParagraph"/>
        <w:numPr>
          <w:ilvl w:val="0"/>
          <w:numId w:val="2"/>
        </w:numPr>
        <w:spacing w:after="100"/>
      </w:pPr>
      <w:r>
        <w:rPr>
          <w:sz w:val="22"/>
          <w:szCs w:val="22"/>
        </w:rPr>
        <w:t xml:space="preserve">Click Sign in with Semgrep Cloud</w:t>
      </w:r>
    </w:p>
    <w:p>
      <w:pPr>
        <w:pStyle w:val="ListParagraph"/>
        <w:numPr>
          <w:ilvl w:val="0"/>
          <w:numId w:val="2"/>
        </w:numPr>
        <w:spacing w:after="100"/>
      </w:pPr>
      <w:r>
        <w:rPr>
          <w:sz w:val="22"/>
          <w:szCs w:val="22"/>
        </w:rPr>
        <w:t xml:space="preserve">A browser window opens — log in with the Semgrep account</w:t>
      </w:r>
    </w:p>
    <w:p>
      <w:pPr>
        <w:pStyle w:val="ListParagraph"/>
        <w:numPr>
          <w:ilvl w:val="0"/>
          <w:numId w:val="2"/>
        </w:numPr>
        <w:spacing w:after="100"/>
      </w:pPr>
      <w:r>
        <w:rPr>
          <w:sz w:val="22"/>
          <w:szCs w:val="22"/>
        </w:rPr>
        <w:t xml:space="preserve">Click Activate</w:t>
      </w:r>
    </w:p>
    <w:p>
      <w:pPr>
        <w:pStyle w:val="ListParagraph"/>
        <w:numPr>
          <w:ilvl w:val="0"/>
          <w:numId w:val="2"/>
        </w:numPr>
        <w:spacing w:after="100"/>
      </w:pPr>
      <w:r>
        <w:rPr>
          <w:sz w:val="22"/>
          <w:szCs w:val="22"/>
        </w:rPr>
        <w:t xml:space="preserve">Return to VS Code — the extension is now connected</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VS Code showing Semgrep sign-in prompt ]</w:t>
            </w:r>
          </w:p>
        </w:tc>
      </w:tr>
    </w:tbl>
    <w:p>
      <w:pPr>
        <w:spacing w:after="120"/>
      </w:pPr>
    </w:p>
    <w:p>
      <w:pPr>
        <w:pStyle w:val="Heading3"/>
        <w:spacing w:after="120" w:before="280"/>
      </w:pPr>
      <w:r>
        <w:t xml:space="preserve">How Findings Appear</w:t>
      </w:r>
    </w:p>
    <w:p>
      <w:pPr>
        <w:spacing w:after="160"/>
      </w:pPr>
      <w:r>
        <w:rPr>
          <w:sz w:val="22"/>
          <w:szCs w:val="22"/>
        </w:rPr>
        <w:t xml:space="preserve">Once signed in, Semgrep automatically scans open files. Vulnerabilities appear as:</w:t>
      </w:r>
    </w:p>
    <w:p>
      <w:pPr>
        <w:pStyle w:val="ListParagraph"/>
        <w:numPr>
          <w:ilvl w:val="0"/>
          <w:numId w:val="1"/>
        </w:numPr>
        <w:spacing w:after="100"/>
      </w:pPr>
      <w:r>
        <w:rPr>
          <w:sz w:val="22"/>
          <w:szCs w:val="22"/>
        </w:rPr>
        <w:t xml:space="preserve">Red/yellow underlines on the affected line</w:t>
      </w:r>
    </w:p>
    <w:p>
      <w:pPr>
        <w:pStyle w:val="ListParagraph"/>
        <w:numPr>
          <w:ilvl w:val="0"/>
          <w:numId w:val="1"/>
        </w:numPr>
        <w:spacing w:after="100"/>
      </w:pPr>
      <w:r>
        <w:rPr>
          <w:sz w:val="22"/>
          <w:szCs w:val="22"/>
        </w:rPr>
        <w:t xml:space="preserve">Hover tooltip showing the rule name, severity, and description</w:t>
      </w:r>
    </w:p>
    <w:p>
      <w:pPr>
        <w:pStyle w:val="ListParagraph"/>
        <w:numPr>
          <w:ilvl w:val="0"/>
          <w:numId w:val="1"/>
        </w:numPr>
        <w:spacing w:after="100"/>
      </w:pPr>
      <w:r>
        <w:rPr>
          <w:sz w:val="22"/>
          <w:szCs w:val="22"/>
        </w:rPr>
        <w:t xml:space="preserve">Problems panel (Ctrl+Shift+M) listing all findings in the project</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VS Code showing inline highlight with hover tooltip displaying finding details ]</w:t>
            </w:r>
          </w:p>
        </w:tc>
      </w:tr>
    </w:tbl>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VS Code Problems panel showing list of Semgrep findings ]</w:t>
            </w:r>
          </w:p>
        </w:tc>
      </w:tr>
    </w:tbl>
    <w:p>
      <w:pPr>
        <w:spacing w:after="120"/>
      </w:pPr>
    </w:p>
    <w:p>
      <w:pPr>
        <w:pStyle w:val="Heading3"/>
        <w:spacing w:after="120" w:before="280"/>
      </w:pPr>
      <w:r>
        <w:t xml:space="preserve">Running a Manual Scan</w:t>
      </w:r>
    </w:p>
    <w:p>
      <w:pPr>
        <w:spacing w:after="160"/>
      </w:pPr>
      <w:r>
        <w:rPr>
          <w:sz w:val="22"/>
          <w:szCs w:val="22"/>
        </w:rPr>
        <w:t xml:space="preserve">To scan the entire project manually, open the VS Code terminal (Ctrl+`) and run:</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semgrep scan --config auto .</w:t>
            </w:r>
          </w:p>
        </w:tc>
      </w:tr>
    </w:tbl>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VS Code terminal showing semgrep scan output with findings ]</w:t>
            </w:r>
          </w:p>
        </w:tc>
      </w:tr>
    </w:tbl>
    <w:p>
      <w:pPr>
        <w:spacing w:after="120"/>
      </w:pPr>
    </w:p>
    <w:p>
      <w:pPr>
        <w:pBdr>
          <w:bottom w:val="single" w:color="DDDDDD" w:sz="6" w:space="1"/>
        </w:pBdr>
        <w:spacing w:after="200"/>
      </w:pPr>
    </w:p>
    <w:p>
      <w:pPr>
        <w:pStyle w:val="Heading2"/>
        <w:spacing w:after="160" w:before="400"/>
      </w:pPr>
      <w:r>
        <w:t xml:space="preserve">5. Semgrep Cloud Platform</w:t>
      </w:r>
    </w:p>
    <w:p>
      <w:pPr>
        <w:spacing w:after="160"/>
      </w:pPr>
      <w:r>
        <w:rPr>
          <w:sz w:val="22"/>
          <w:szCs w:val="22"/>
        </w:rPr>
        <w:t xml:space="preserve">The Semgrep Cloud Platform is the central dashboard where all scan results are collected, triaged, and tracked. After every pipeline scan in Bitbucket, findings are automatically sent here.</w:t>
      </w:r>
    </w:p>
    <w:p>
      <w:pPr>
        <w:spacing w:after="120"/>
      </w:pPr>
    </w:p>
    <w:p>
      <w:pPr>
        <w:pStyle w:val="Heading3"/>
        <w:spacing w:after="120" w:before="280"/>
      </w:pPr>
      <w:r>
        <w:t xml:space="preserve">Accessing the Dashboard</w:t>
      </w:r>
    </w:p>
    <w:p>
      <w:pPr>
        <w:spacing w:after="160"/>
      </w:pPr>
      <w:r>
        <w:rPr>
          <w:sz w:val="22"/>
          <w:szCs w:val="22"/>
        </w:rPr>
        <w:t xml:space="preserve">Navigate to semgrep.dev and sign in. The dashboard shows an overview of all projects and findings across the organisation.</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Cloud dashboard home page showing project overview ]</w:t>
            </w:r>
          </w:p>
        </w:tc>
      </w:tr>
    </w:tbl>
    <w:p>
      <w:pPr>
        <w:spacing w:after="120"/>
      </w:pPr>
    </w:p>
    <w:p>
      <w:pPr>
        <w:pStyle w:val="Heading3"/>
        <w:spacing w:after="120" w:before="280"/>
      </w:pPr>
      <w:r>
        <w:t xml:space="preserve">Navigating Findings</w:t>
      </w:r>
    </w:p>
    <w:p>
      <w:pPr>
        <w:spacing w:after="160"/>
      </w:pPr>
      <w:r>
        <w:rPr>
          <w:sz w:val="22"/>
          <w:szCs w:val="22"/>
        </w:rPr>
        <w:t xml:space="preserve">Click Code in the left sidebar to view all SAST findings. Each finding shows:</w:t>
      </w:r>
    </w:p>
    <w:p>
      <w:pPr>
        <w:pStyle w:val="ListParagraph"/>
        <w:numPr>
          <w:ilvl w:val="0"/>
          <w:numId w:val="1"/>
        </w:numPr>
        <w:spacing w:after="100"/>
      </w:pPr>
      <w:r>
        <w:rPr>
          <w:sz w:val="22"/>
          <w:szCs w:val="22"/>
        </w:rPr>
        <w:t xml:space="preserve">Severity — Critical, High, Medium, Low</w:t>
      </w:r>
    </w:p>
    <w:p>
      <w:pPr>
        <w:pStyle w:val="ListParagraph"/>
        <w:numPr>
          <w:ilvl w:val="0"/>
          <w:numId w:val="1"/>
        </w:numPr>
        <w:spacing w:after="100"/>
      </w:pPr>
      <w:r>
        <w:rPr>
          <w:sz w:val="22"/>
          <w:szCs w:val="22"/>
        </w:rPr>
        <w:t xml:space="preserve">Rule name — the rule that triggered the finding</w:t>
      </w:r>
    </w:p>
    <w:p>
      <w:pPr>
        <w:pStyle w:val="ListParagraph"/>
        <w:numPr>
          <w:ilvl w:val="0"/>
          <w:numId w:val="1"/>
        </w:numPr>
        <w:spacing w:after="100"/>
      </w:pPr>
      <w:r>
        <w:rPr>
          <w:sz w:val="22"/>
          <w:szCs w:val="22"/>
        </w:rPr>
        <w:t xml:space="preserve">File and line number — exact location in the code</w:t>
      </w:r>
    </w:p>
    <w:p>
      <w:pPr>
        <w:pStyle w:val="ListParagraph"/>
        <w:numPr>
          <w:ilvl w:val="0"/>
          <w:numId w:val="1"/>
        </w:numPr>
        <w:spacing w:after="100"/>
      </w:pPr>
      <w:r>
        <w:rPr>
          <w:sz w:val="22"/>
          <w:szCs w:val="22"/>
        </w:rPr>
        <w:t xml:space="preserve">Status — Open, Ignored, Fixed</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Cloud Code findings list page showing findings with severity badges ]</w:t>
            </w:r>
          </w:p>
        </w:tc>
      </w:tr>
    </w:tbl>
    <w:p>
      <w:pPr>
        <w:spacing w:after="120"/>
      </w:pPr>
    </w:p>
    <w:p>
      <w:pPr>
        <w:pStyle w:val="Heading3"/>
        <w:spacing w:after="120" w:before="280"/>
      </w:pPr>
      <w:r>
        <w:t xml:space="preserve">Viewing a Finding in Detail</w:t>
      </w:r>
    </w:p>
    <w:p>
      <w:pPr>
        <w:spacing w:after="160"/>
      </w:pPr>
      <w:r>
        <w:rPr>
          <w:sz w:val="22"/>
          <w:szCs w:val="22"/>
        </w:rPr>
        <w:t xml:space="preserve">Click any finding to open the detail view, which shows:</w:t>
      </w:r>
    </w:p>
    <w:p>
      <w:pPr>
        <w:pStyle w:val="ListParagraph"/>
        <w:numPr>
          <w:ilvl w:val="0"/>
          <w:numId w:val="1"/>
        </w:numPr>
        <w:spacing w:after="100"/>
      </w:pPr>
      <w:r>
        <w:rPr>
          <w:sz w:val="22"/>
          <w:szCs w:val="22"/>
        </w:rPr>
        <w:t xml:space="preserve">Rule details — severity, confidence, CWE, rule name</w:t>
      </w:r>
    </w:p>
    <w:p>
      <w:pPr>
        <w:pStyle w:val="ListParagraph"/>
        <w:numPr>
          <w:ilvl w:val="0"/>
          <w:numId w:val="1"/>
        </w:numPr>
        <w:spacing w:after="100"/>
      </w:pPr>
      <w:r>
        <w:rPr>
          <w:sz w:val="22"/>
          <w:szCs w:val="22"/>
        </w:rPr>
        <w:t xml:space="preserve">Dataflow trace — Source and Sink with the affected lines of code</w:t>
      </w:r>
    </w:p>
    <w:p>
      <w:pPr>
        <w:pStyle w:val="ListParagraph"/>
        <w:numPr>
          <w:ilvl w:val="0"/>
          <w:numId w:val="1"/>
        </w:numPr>
        <w:spacing w:after="100"/>
      </w:pPr>
      <w:r>
        <w:rPr>
          <w:sz w:val="22"/>
          <w:szCs w:val="22"/>
        </w:rPr>
        <w:t xml:space="preserve">Fix guidance — step-by-step remediation instructions</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Finding detail page showing Rule Details panel — severity (Critical), CWE-89, rule name ]</w:t>
            </w:r>
          </w:p>
        </w:tc>
      </w:tr>
    </w:tbl>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Finding detail page showing Source/Sink dataflow trace in code view ]</w:t>
            </w:r>
          </w:p>
        </w:tc>
      </w:tr>
    </w:tbl>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Finding detail page showing Fix guidance tab with numbered remediation steps ]</w:t>
            </w:r>
          </w:p>
        </w:tc>
      </w:tr>
    </w:tbl>
    <w:p>
      <w:pPr>
        <w:spacing w:after="120"/>
      </w:pPr>
    </w:p>
    <w:p>
      <w:pPr>
        <w:pStyle w:val="Heading3"/>
        <w:spacing w:after="120" w:before="280"/>
      </w:pPr>
      <w:r>
        <w:t xml:space="preserve">Triage Actions</w:t>
      </w:r>
    </w:p>
    <w:p>
      <w:pPr>
        <w:spacing w:after="160"/>
      </w:pPr>
      <w:r>
        <w:rPr>
          <w:sz w:val="22"/>
          <w:szCs w:val="22"/>
        </w:rPr>
        <w:t xml:space="preserve">Each finding can be actioned using the buttons at the top of the detail page:</w:t>
      </w:r>
    </w:p>
    <w:p>
      <w:pPr>
        <w:pStyle w:val="ListParagraph"/>
        <w:numPr>
          <w:ilvl w:val="0"/>
          <w:numId w:val="1"/>
        </w:numPr>
        <w:spacing w:after="100"/>
      </w:pPr>
      <w:r>
        <w:rPr>
          <w:b/>
          <w:bCs/>
          <w:sz w:val="22"/>
          <w:szCs w:val="22"/>
        </w:rPr>
        <w:t xml:space="preserve">Ignore</w:t>
      </w:r>
      <w:r>
        <w:rPr>
          <w:sz w:val="22"/>
          <w:szCs w:val="22"/>
        </w:rPr>
        <w:t xml:space="preserve"> – Mark as false positive, acceptable risk, no time to fix, or duplicate</w:t>
      </w:r>
    </w:p>
    <w:p>
      <w:pPr>
        <w:pStyle w:val="ListParagraph"/>
        <w:numPr>
          <w:ilvl w:val="0"/>
          <w:numId w:val="1"/>
        </w:numPr>
        <w:spacing w:after="100"/>
      </w:pPr>
      <w:r>
        <w:rPr>
          <w:b/>
          <w:bCs/>
          <w:sz w:val="22"/>
          <w:szCs w:val="22"/>
        </w:rPr>
        <w:t xml:space="preserve">Fixed</w:t>
      </w:r>
      <w:r>
        <w:rPr>
          <w:sz w:val="22"/>
          <w:szCs w:val="22"/>
        </w:rPr>
        <w:t xml:space="preserve"> – Mark as resolved after code is remediated</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Cloud Ignore dropdown showing reason options: False positive, Acceptable risk, No time to fix, Duplicate ]</w:t>
            </w:r>
          </w:p>
        </w:tc>
      </w:tr>
    </w:tbl>
    <w:p>
      <w:pPr>
        <w:spacing w:after="120"/>
      </w:pPr>
    </w:p>
    <w:p>
      <w:pPr>
        <w:pBdr>
          <w:bottom w:val="single" w:color="DDDDDD" w:sz="6" w:space="1"/>
        </w:pBdr>
        <w:spacing w:after="200"/>
      </w:pPr>
    </w:p>
    <w:p>
      <w:pPr>
        <w:pStyle w:val="Heading2"/>
        <w:spacing w:after="160" w:before="400"/>
      </w:pPr>
      <w:r>
        <w:t xml:space="preserve">6. Finding Types</w:t>
      </w:r>
    </w:p>
    <w:p>
      <w:pPr>
        <w:spacing w:after="160"/>
      </w:pPr>
      <w:r>
        <w:rPr>
          <w:sz w:val="22"/>
          <w:szCs w:val="22"/>
        </w:rPr>
        <w:t xml:space="preserve">Semgrep reports four types of findings, each requiring a different resolution approach. Understanding the type helps prioritise and resolve issues correctly.</w:t>
      </w:r>
    </w:p>
    <w:p>
      <w:pPr>
        <w:spacing w:after="120"/>
      </w:pPr>
    </w:p>
    <w:p>
      <w:pPr>
        <w:pStyle w:val="Heading3"/>
        <w:spacing w:after="120" w:before="280"/>
      </w:pPr>
      <w:r>
        <w:t xml:space="preserve">Code (SAST)</w:t>
      </w:r>
    </w:p>
    <w:p>
      <w:pPr>
        <w:spacing w:after="160"/>
      </w:pPr>
      <w:r>
        <w:rPr>
          <w:sz w:val="22"/>
          <w:szCs w:val="22"/>
        </w:rPr>
        <w:t xml:space="preserve">Code findings are detected through static analysis of the application source code. Semgrep matches code patterns against a library of security rules to identify vulnerabilities such as injection flaws, insecure configurations, and unsafe API usage.</w:t>
      </w:r>
    </w:p>
    <w:p>
      <w:pPr>
        <w:spacing w:after="160"/>
      </w:pPr>
      <w:r>
        <w:rPr>
          <w:sz w:val="22"/>
          <w:szCs w:val="22"/>
        </w:rPr>
        <w:t xml:space="preserve">Resolution: Refactor the flagged code to use a secure alternative. The Fix guidance tab in Semgrep Cloud provides step-by-step instructions.</w:t>
      </w:r>
    </w:p>
    <w:p>
      <w:pPr>
        <w:spacing w:after="120"/>
      </w:pPr>
    </w:p>
    <w:p>
      <w:pPr>
        <w:pStyle w:val="Heading3"/>
        <w:spacing w:after="120" w:before="280"/>
      </w:pPr>
      <w:r>
        <w:t xml:space="preserve">Dependency (SCA)</w:t>
      </w:r>
    </w:p>
    <w:p>
      <w:pPr>
        <w:spacing w:after="160"/>
      </w:pPr>
      <w:r>
        <w:rPr>
          <w:sz w:val="22"/>
          <w:szCs w:val="22"/>
        </w:rPr>
        <w:t xml:space="preserve">Dependency findings identify vulnerable versions of open-source libraries and packages used in the project. Semgrep cross-references declared dependencies against known CVE databases.</w:t>
      </w:r>
    </w:p>
    <w:p>
      <w:pPr>
        <w:spacing w:after="160"/>
      </w:pPr>
      <w:r>
        <w:rPr>
          <w:sz w:val="22"/>
          <w:szCs w:val="22"/>
        </w:rPr>
        <w:t xml:space="preserve">Resolution: Upgrade the affected dependency to a version that contains the security patch. Check the finding detail for the recommended safe version.</w:t>
      </w:r>
    </w:p>
    <w:p>
      <w:pPr>
        <w:spacing w:after="120"/>
      </w:pPr>
    </w:p>
    <w:p>
      <w:pPr>
        <w:pStyle w:val="Heading3"/>
        <w:spacing w:after="120" w:before="280"/>
      </w:pPr>
      <w:r>
        <w:t xml:space="preserve">Secrets</w:t>
      </w:r>
    </w:p>
    <w:p>
      <w:pPr>
        <w:spacing w:after="160"/>
      </w:pPr>
      <w:r>
        <w:rPr>
          <w:sz w:val="22"/>
          <w:szCs w:val="22"/>
        </w:rPr>
        <w:t xml:space="preserve">Secrets findings detect hardcoded credentials, API keys, tokens, passwords, and private keys that have been accidentally committed to the codebase.</w:t>
      </w:r>
    </w:p>
    <w:p>
      <w:pPr>
        <w:spacing w:after="160"/>
      </w:pPr>
      <w:r>
        <w:rPr>
          <w:sz w:val="22"/>
          <w:szCs w:val="22"/>
        </w:rPr>
        <w:t xml:space="preserve">Resolution: Immediately rotate the exposed secret through the relevant service provider. Remove the hardcoded value from the code and store it securely using environment variables or a secrets manager.</w:t>
      </w:r>
    </w:p>
    <w:p>
      <w:pPr>
        <w:spacing w:after="120"/>
      </w:pPr>
    </w:p>
    <w:p>
      <w:pPr>
        <w:pStyle w:val="Heading3"/>
        <w:spacing w:after="120" w:before="280"/>
      </w:pPr>
      <w:r>
        <w:t xml:space="preserve">License</w:t>
      </w:r>
    </w:p>
    <w:p>
      <w:pPr>
        <w:spacing w:after="160"/>
      </w:pPr>
      <w:r>
        <w:rPr>
          <w:sz w:val="22"/>
          <w:szCs w:val="22"/>
        </w:rPr>
        <w:t xml:space="preserve">License findings flag third-party dependencies whose open-source licences may conflict with organisational or commercial usage policies (e.g., GPL-licensed code in a proprietary product).</w:t>
      </w:r>
    </w:p>
    <w:p>
      <w:pPr>
        <w:spacing w:after="160"/>
      </w:pPr>
      <w:r>
        <w:rPr>
          <w:sz w:val="22"/>
          <w:szCs w:val="22"/>
        </w:rPr>
        <w:t xml:space="preserve">Resolution: Escalate to the AppSec team. Do not remove or replace the dependency without approval.</w:t>
      </w:r>
    </w:p>
    <w:p>
      <w:pPr>
        <w:spacing w:after="120"/>
      </w:pPr>
    </w:p>
    <w:p>
      <w:pPr>
        <w:pBdr>
          <w:bottom w:val="single" w:color="DDDDDD" w:sz="6" w:space="1"/>
        </w:pBdr>
        <w:spacing w:after="200"/>
      </w:pPr>
    </w:p>
    <w:p>
      <w:pPr>
        <w:pStyle w:val="Heading2"/>
        <w:spacing w:after="160" w:before="400"/>
      </w:pPr>
      <w:r>
        <w:t xml:space="preserve">7. Triaging Findings</w:t>
      </w:r>
    </w:p>
    <w:p>
      <w:pPr>
        <w:spacing w:after="160"/>
      </w:pPr>
      <w:r>
        <w:rPr>
          <w:sz w:val="22"/>
          <w:szCs w:val="22"/>
        </w:rPr>
        <w:t xml:space="preserve">Triage is the process of reviewing findings and determining the appropriate action. Not every finding requires immediate code changes — some may be false positives or accepted risks.</w:t>
      </w:r>
    </w:p>
    <w:p>
      <w:pPr>
        <w:spacing w:after="120"/>
      </w:pPr>
    </w:p>
    <w:p>
      <w:pPr>
        <w:pStyle w:val="Heading3"/>
        <w:spacing w:after="120" w:before="280"/>
      </w:pPr>
      <w:r>
        <w:t xml:space="preserve">Finding Status Options</w:t>
      </w:r>
    </w:p>
    <w:p>
      <w:pPr>
        <w:pStyle w:val="ListParagraph"/>
        <w:numPr>
          <w:ilvl w:val="0"/>
          <w:numId w:val="1"/>
        </w:numPr>
        <w:spacing w:after="100"/>
      </w:pPr>
      <w:r>
        <w:rPr>
          <w:b/>
          <w:bCs/>
          <w:sz w:val="22"/>
          <w:szCs w:val="22"/>
        </w:rPr>
        <w:t xml:space="preserve">Open</w:t>
      </w:r>
      <w:r>
        <w:rPr>
          <w:sz w:val="22"/>
          <w:szCs w:val="22"/>
        </w:rPr>
        <w:t xml:space="preserve"> – The finding is a genuine security issue that requires remediation.</w:t>
      </w:r>
    </w:p>
    <w:p>
      <w:pPr>
        <w:pStyle w:val="ListParagraph"/>
        <w:numPr>
          <w:ilvl w:val="0"/>
          <w:numId w:val="1"/>
        </w:numPr>
        <w:spacing w:after="100"/>
      </w:pPr>
      <w:r>
        <w:rPr>
          <w:b/>
          <w:bCs/>
          <w:sz w:val="22"/>
          <w:szCs w:val="22"/>
        </w:rPr>
        <w:t xml:space="preserve">Ignored</w:t>
      </w:r>
      <w:r>
        <w:rPr>
          <w:sz w:val="22"/>
          <w:szCs w:val="22"/>
        </w:rPr>
        <w:t xml:space="preserve"> – The finding has been reviewed and dismissed for a specific reason.</w:t>
      </w:r>
    </w:p>
    <w:p>
      <w:pPr>
        <w:pStyle w:val="ListParagraph"/>
        <w:numPr>
          <w:ilvl w:val="0"/>
          <w:numId w:val="1"/>
        </w:numPr>
        <w:spacing w:after="100"/>
      </w:pPr>
      <w:r>
        <w:rPr>
          <w:b/>
          <w:bCs/>
          <w:sz w:val="22"/>
          <w:szCs w:val="22"/>
        </w:rPr>
        <w:t xml:space="preserve">Fixed</w:t>
      </w:r>
      <w:r>
        <w:rPr>
          <w:sz w:val="22"/>
          <w:szCs w:val="22"/>
        </w:rPr>
        <w:t xml:space="preserve"> – The vulnerability has been resolved and the fix has been deployed.</w:t>
      </w:r>
    </w:p>
    <w:p>
      <w:pPr>
        <w:spacing w:after="120"/>
      </w:pPr>
    </w:p>
    <w:p>
      <w:pPr>
        <w:pStyle w:val="Heading3"/>
        <w:spacing w:after="120" w:before="280"/>
      </w:pPr>
      <w:r>
        <w:t xml:space="preserve">Triage Workflow</w:t>
      </w:r>
    </w:p>
    <w:p>
      <w:pPr>
        <w:pStyle w:val="ListParagraph"/>
        <w:numPr>
          <w:ilvl w:val="0"/>
          <w:numId w:val="2"/>
        </w:numPr>
        <w:spacing w:after="100"/>
      </w:pPr>
      <w:r>
        <w:rPr>
          <w:sz w:val="22"/>
          <w:szCs w:val="22"/>
        </w:rPr>
        <w:t xml:space="preserve">Open the finding in Semgrep Cloud</w:t>
      </w:r>
    </w:p>
    <w:p>
      <w:pPr>
        <w:pStyle w:val="ListParagraph"/>
        <w:numPr>
          <w:ilvl w:val="0"/>
          <w:numId w:val="2"/>
        </w:numPr>
        <w:spacing w:after="100"/>
      </w:pPr>
      <w:r>
        <w:rPr>
          <w:sz w:val="22"/>
          <w:szCs w:val="22"/>
        </w:rPr>
        <w:t xml:space="preserve">Review the rule description, dataflow trace, and affected code</w:t>
      </w:r>
    </w:p>
    <w:p>
      <w:pPr>
        <w:pStyle w:val="ListParagraph"/>
        <w:numPr>
          <w:ilvl w:val="0"/>
          <w:numId w:val="2"/>
        </w:numPr>
        <w:spacing w:after="100"/>
      </w:pPr>
      <w:r>
        <w:rPr>
          <w:sz w:val="22"/>
          <w:szCs w:val="22"/>
        </w:rPr>
        <w:t xml:space="preserve">Determine whether the finding is a true positive or false positive</w:t>
      </w:r>
    </w:p>
    <w:p>
      <w:pPr>
        <w:pStyle w:val="ListParagraph"/>
        <w:numPr>
          <w:ilvl w:val="0"/>
          <w:numId w:val="2"/>
        </w:numPr>
        <w:spacing w:after="100"/>
      </w:pPr>
      <w:r>
        <w:rPr>
          <w:sz w:val="22"/>
          <w:szCs w:val="22"/>
        </w:rPr>
        <w:t xml:space="preserve">If true positive: prioritise based on severity and remediate within the SLA</w:t>
      </w:r>
    </w:p>
    <w:p>
      <w:pPr>
        <w:pStyle w:val="ListParagraph"/>
        <w:numPr>
          <w:ilvl w:val="0"/>
          <w:numId w:val="2"/>
        </w:numPr>
        <w:spacing w:after="100"/>
      </w:pPr>
      <w:r>
        <w:rPr>
          <w:sz w:val="22"/>
          <w:szCs w:val="22"/>
        </w:rPr>
        <w:t xml:space="preserve">If false positive: click Ignore and select the appropriate reason</w:t>
      </w:r>
    </w:p>
    <w:p>
      <w:pPr>
        <w:spacing w:after="120"/>
      </w:pPr>
    </w:p>
    <w:p>
      <w:pPr>
        <w:pStyle w:val="Heading3"/>
        <w:spacing w:after="120" w:before="280"/>
      </w:pPr>
      <w:r>
        <w:t xml:space="preserve">Ignore Reasons</w:t>
      </w:r>
    </w:p>
    <w:p>
      <w:pPr>
        <w:pStyle w:val="ListParagraph"/>
        <w:numPr>
          <w:ilvl w:val="0"/>
          <w:numId w:val="1"/>
        </w:numPr>
        <w:spacing w:after="100"/>
      </w:pPr>
      <w:r>
        <w:rPr>
          <w:b/>
          <w:bCs/>
          <w:sz w:val="22"/>
          <w:szCs w:val="22"/>
        </w:rPr>
        <w:t xml:space="preserve">False positive</w:t>
      </w:r>
      <w:r>
        <w:rPr>
          <w:sz w:val="22"/>
          <w:szCs w:val="22"/>
        </w:rPr>
        <w:t xml:space="preserve"> – The flagged code pattern is not exploitable in the specific context.</w:t>
      </w:r>
    </w:p>
    <w:p>
      <w:pPr>
        <w:pStyle w:val="ListParagraph"/>
        <w:numPr>
          <w:ilvl w:val="0"/>
          <w:numId w:val="1"/>
        </w:numPr>
        <w:spacing w:after="100"/>
      </w:pPr>
      <w:r>
        <w:rPr>
          <w:b/>
          <w:bCs/>
          <w:sz w:val="22"/>
          <w:szCs w:val="22"/>
        </w:rPr>
        <w:t xml:space="preserve">Acceptable risk</w:t>
      </w:r>
      <w:r>
        <w:rPr>
          <w:sz w:val="22"/>
          <w:szCs w:val="22"/>
        </w:rPr>
        <w:t xml:space="preserve"> – The risk has been reviewed and accepted by the AppSec team.</w:t>
      </w:r>
    </w:p>
    <w:p>
      <w:pPr>
        <w:pStyle w:val="ListParagraph"/>
        <w:numPr>
          <w:ilvl w:val="0"/>
          <w:numId w:val="1"/>
        </w:numPr>
        <w:spacing w:after="100"/>
      </w:pPr>
      <w:r>
        <w:rPr>
          <w:b/>
          <w:bCs/>
          <w:sz w:val="22"/>
          <w:szCs w:val="22"/>
        </w:rPr>
        <w:t xml:space="preserve">No time to fix</w:t>
      </w:r>
      <w:r>
        <w:rPr>
          <w:sz w:val="22"/>
          <w:szCs w:val="22"/>
        </w:rPr>
        <w:t xml:space="preserve"> – Remediation is planned but not immediately scheduled.</w:t>
      </w:r>
    </w:p>
    <w:p>
      <w:pPr>
        <w:pStyle w:val="ListParagraph"/>
        <w:numPr>
          <w:ilvl w:val="0"/>
          <w:numId w:val="1"/>
        </w:numPr>
        <w:spacing w:after="100"/>
      </w:pPr>
      <w:r>
        <w:rPr>
          <w:b/>
          <w:bCs/>
          <w:sz w:val="22"/>
          <w:szCs w:val="22"/>
        </w:rPr>
        <w:t xml:space="preserve">Duplicate</w:t>
      </w:r>
      <w:r>
        <w:rPr>
          <w:sz w:val="22"/>
          <w:szCs w:val="22"/>
        </w:rPr>
        <w:t xml:space="preserve"> – The same issue has already been reported under another finding.</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Cloud finding detail page showing triage options and Ignore dropdown ]</w:t>
            </w:r>
          </w:p>
        </w:tc>
      </w:tr>
    </w:tbl>
    <w:p>
      <w:pPr>
        <w:spacing w:after="120"/>
      </w:pPr>
    </w:p>
    <w:p>
      <w:pPr>
        <w:pBdr>
          <w:bottom w:val="single" w:color="DDDDDD" w:sz="6" w:space="1"/>
        </w:pBdr>
        <w:spacing w:after="200"/>
      </w:pPr>
    </w:p>
    <w:p>
      <w:pPr>
        <w:pStyle w:val="Heading2"/>
        <w:spacing w:after="160" w:before="400"/>
      </w:pPr>
      <w:r>
        <w:t xml:space="preserve">8. Use Cases</w:t>
      </w:r>
    </w:p>
    <w:p>
      <w:pPr>
        <w:spacing w:after="160"/>
      </w:pPr>
      <w:r>
        <w:rPr>
          <w:sz w:val="22"/>
          <w:szCs w:val="22"/>
        </w:rPr>
        <w:t xml:space="preserve">The following use cases illustrate real finding types that Semgrep detects, along with an explanation of each vulnerability and the recommended fix.</w:t>
      </w:r>
    </w:p>
    <w:p>
      <w:pPr>
        <w:spacing w:after="120"/>
      </w:pPr>
    </w:p>
    <w:p>
      <w:pPr>
        <w:pStyle w:val="Heading3"/>
        <w:spacing w:after="120" w:before="280"/>
      </w:pPr>
      <w:r>
        <w:t xml:space="preserve">Use Case 1: Command Injection</w:t>
      </w:r>
    </w:p>
    <w:p>
      <w:pPr>
        <w:spacing w:after="160"/>
      </w:pPr>
      <w:r>
        <w:rPr>
          <w:sz w:val="22"/>
          <w:szCs w:val="22"/>
        </w:rPr>
        <w:t xml:space="preserve">Rule: tainted-command-injection / php.lang.security.exec-use.exec-use</w:t>
      </w:r>
    </w:p>
    <w:p>
      <w:pPr>
        <w:spacing w:after="160"/>
      </w:pPr>
      <w:r>
        <w:rPr>
          <w:sz w:val="22"/>
          <w:szCs w:val="22"/>
        </w:rPr>
        <w:t xml:space="preserve">A command injection vulnerability occurs when user-supplied input is passed directly to a system command execution function without sanitisation. An attacker can manipulate the input to execute arbitrary commands on the server.</w:t>
      </w:r>
    </w:p>
    <w:p>
      <w:pPr>
        <w:spacing w:after="120"/>
      </w:pPr>
    </w:p>
    <w:p>
      <w:pPr>
        <w:spacing w:after="160"/>
      </w:pPr>
      <w:r>
        <w:rPr>
          <w:sz w:val="22"/>
          <w:szCs w:val="22"/>
        </w:rPr>
        <w:t xml:space="preserve">Vulnerable code example: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$cmd = shell_exec($_GET['cmd']);</w:t>
            </w:r>
          </w:p>
        </w:tc>
      </w:tr>
    </w:tbl>
    <w:p>
      <w:pPr>
        <w:spacing w:after="120"/>
      </w:pPr>
    </w:p>
    <w:p>
      <w:pPr>
        <w:spacing w:after="160"/>
      </w:pPr>
      <w:r>
        <w:rPr>
          <w:sz w:val="22"/>
          <w:szCs w:val="22"/>
        </w:rPr>
        <w:t xml:space="preserve">In this example, the value of $_GET['cmd'] is passed directly to shell_exec() without any validation or sanitisation. An attacker can send a crafted request to execute any system command.</w:t>
      </w:r>
    </w:p>
    <w:p>
      <w:pPr>
        <w:spacing w:after="120"/>
      </w:pPr>
    </w:p>
    <w:p>
      <w:pPr>
        <w:spacing w:after="160"/>
      </w:pPr>
      <w:r>
        <w:rPr>
          <w:sz w:val="22"/>
          <w:szCs w:val="22"/>
        </w:rPr>
        <w:t xml:space="preserve">Recommended fix: Avoid passing user input to shell functions. If shell execution is required, validate and whitelist all input values before use. Never concatenate user-controlled data into system commands.</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Cloud finding detail for tainted-command-injection — showing Source ($_GET) and Sink (shell_exec) ]</w:t>
            </w:r>
          </w:p>
        </w:tc>
      </w:tr>
    </w:tbl>
    <w:p>
      <w:pPr>
        <w:spacing w:after="120"/>
      </w:pPr>
    </w:p>
    <w:p>
      <w:pPr>
        <w:pStyle w:val="Heading3"/>
        <w:spacing w:after="120" w:before="280"/>
      </w:pPr>
      <w:r>
        <w:t xml:space="preserve">Use Case 2: SQL Injection</w:t>
      </w:r>
    </w:p>
    <w:p>
      <w:pPr>
        <w:spacing w:after="160"/>
      </w:pPr>
      <w:r>
        <w:rPr>
          <w:sz w:val="22"/>
          <w:szCs w:val="22"/>
        </w:rPr>
        <w:t xml:space="preserve">Rule: laravel-native-sql-injection / tainted-sql-string</w:t>
      </w:r>
    </w:p>
    <w:p>
      <w:pPr>
        <w:spacing w:after="160"/>
      </w:pPr>
      <w:r>
        <w:rPr>
          <w:sz w:val="22"/>
          <w:szCs w:val="22"/>
        </w:rPr>
        <w:t xml:space="preserve">A SQL injection vulnerability occurs when user input is concatenated directly into a SQL query string. An attacker can manipulate the query to access, modify, or delete data from the database.</w:t>
      </w:r>
    </w:p>
    <w:p>
      <w:pPr>
        <w:spacing w:after="120"/>
      </w:pPr>
    </w:p>
    <w:p>
      <w:pPr>
        <w:spacing w:after="160"/>
      </w:pPr>
      <w:r>
        <w:rPr>
          <w:sz w:val="22"/>
          <w:szCs w:val="22"/>
        </w:rPr>
        <w:t xml:space="preserve">Vulnerable code example: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$query = "SELECT * FROM users WHERE id = '" . $_GET['id'] . "'";</w:t>
            </w:r>
          </w:p>
          <w:p>
            <w:pPr>
              <w:spacing w:after="40"/>
            </w:pPr>
            <w:r>
              <w:rPr>
                <w:rFonts w:ascii="Courier New" w:cs="Courier New" w:eastAsia="Courier New" w:hAnsi="Courier New"/>
                <w:color w:val="D4D4D4"/>
                <w:sz w:val="18"/>
                <w:szCs w:val="18"/>
              </w:rPr>
              <w:t xml:space="preserve">$result = mysqli_query($conn, $query);</w:t>
            </w:r>
          </w:p>
        </w:tc>
      </w:tr>
    </w:tbl>
    <w:p>
      <w:pPr>
        <w:spacing w:after="120"/>
      </w:pPr>
    </w:p>
    <w:p>
      <w:pPr>
        <w:spacing w:after="160"/>
      </w:pPr>
      <w:r>
        <w:rPr>
          <w:sz w:val="22"/>
          <w:szCs w:val="22"/>
        </w:rPr>
        <w:t xml:space="preserve">The value from $_GET['id'] is concatenated directly into the SQL string. An attacker can inject SQL syntax to alter the query logic.</w:t>
      </w:r>
    </w:p>
    <w:p>
      <w:pPr>
        <w:spacing w:after="120"/>
      </w:pPr>
    </w:p>
    <w:p>
      <w:pPr>
        <w:spacing w:after="160"/>
      </w:pPr>
      <w:r>
        <w:rPr>
          <w:sz w:val="22"/>
          <w:szCs w:val="22"/>
        </w:rPr>
        <w:t xml:space="preserve">Recommended fix: Use prepared statements with parameterised queries. Never build SQL strings by concatenating user-supplied values.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$stmt = $conn-&gt;prepare("SELECT * FROM users WHERE id = ?");</w:t>
            </w:r>
          </w:p>
          <w:p>
            <w:pPr>
              <w:spacing w:after="40"/>
            </w:pPr>
            <w:r>
              <w:rPr>
                <w:rFonts w:ascii="Courier New" w:cs="Courier New" w:eastAsia="Courier New" w:hAnsi="Courier New"/>
                <w:color w:val="D4D4D4"/>
                <w:sz w:val="18"/>
                <w:szCs w:val="18"/>
              </w:rPr>
              <w:t xml:space="preserve">$stmt-&gt;bind_param("i", $id);</w:t>
            </w:r>
          </w:p>
          <w:p>
            <w:pPr>
              <w:spacing w:after="40"/>
            </w:pPr>
            <w:r>
              <w:rPr>
                <w:rFonts w:ascii="Courier New" w:cs="Courier New" w:eastAsia="Courier New" w:hAnsi="Courier New"/>
                <w:color w:val="D4D4D4"/>
                <w:sz w:val="18"/>
                <w:szCs w:val="18"/>
              </w:rPr>
              <w:t xml:space="preserve">$stmt-&gt;execute();</w:t>
            </w:r>
          </w:p>
        </w:tc>
      </w:tr>
    </w:tbl>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Cloud finding detail for laravel-native-sql-injection — showing dataflow from Source to Sink ]</w:t>
            </w:r>
          </w:p>
        </w:tc>
      </w:tr>
    </w:tbl>
    <w:p>
      <w:pPr>
        <w:spacing w:after="120"/>
      </w:pPr>
    </w:p>
    <w:p>
      <w:pPr>
        <w:pStyle w:val="Heading3"/>
        <w:spacing w:after="120" w:before="280"/>
      </w:pPr>
      <w:r>
        <w:t xml:space="preserve">Use Case 3: Supply Chain (SCA)</w:t>
      </w:r>
    </w:p>
    <w:p>
      <w:pPr>
        <w:spacing w:after="160"/>
      </w:pPr>
      <w:r>
        <w:rPr>
          <w:sz w:val="22"/>
          <w:szCs w:val="22"/>
        </w:rPr>
        <w:t xml:space="preserve">Rule: symfony/symfony — XML Entity Expansion</w:t>
      </w:r>
    </w:p>
    <w:p>
      <w:pPr>
        <w:spacing w:after="160"/>
      </w:pPr>
      <w:r>
        <w:rPr>
          <w:sz w:val="22"/>
          <w:szCs w:val="22"/>
        </w:rPr>
        <w:t xml:space="preserve">A supply chain vulnerability occurs when a third-party dependency used in the project contains a known security flaw. Semgrep SCA cross-references project dependencies against CVE databases to detect these issues.</w:t>
      </w:r>
    </w:p>
    <w:p>
      <w:pPr>
        <w:spacing w:after="120"/>
      </w:pPr>
    </w:p>
    <w:p>
      <w:pPr>
        <w:spacing w:after="160"/>
      </w:pPr>
      <w:r>
        <w:rPr>
          <w:sz w:val="22"/>
          <w:szCs w:val="22"/>
        </w:rPr>
        <w:t xml:space="preserve">In this example, an outdated version of the symfony/symfony library was detected. This version is vulnerable to XML Entity Expansion (XXE) attacks, which can be exploited to read arbitrary files from the server or cause denial of service.</w:t>
      </w:r>
    </w:p>
    <w:p>
      <w:pPr>
        <w:spacing w:after="120"/>
      </w:pPr>
    </w:p>
    <w:p>
      <w:pPr>
        <w:spacing w:after="160"/>
      </w:pPr>
      <w:r>
        <w:rPr>
          <w:sz w:val="22"/>
          <w:szCs w:val="22"/>
        </w:rPr>
        <w:t xml:space="preserve">Recommended fix: Upgrade the symfony/symfony package to the patched version specified in the finding. Update the composer.json or package manifest accordingly.</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Cloud Supply Chain finding showing vulnerable dependency, CVE, and recommended upgrade version ]</w:t>
            </w:r>
          </w:p>
        </w:tc>
      </w:tr>
    </w:tbl>
    <w:p>
      <w:pPr>
        <w:spacing w:after="120"/>
      </w:pPr>
    </w:p>
    <w:p>
      <w:pPr>
        <w:pBdr>
          <w:bottom w:val="single" w:color="DDDDDD" w:sz="6" w:space="1"/>
        </w:pBdr>
        <w:spacing w:after="200"/>
      </w:pPr>
    </w:p>
    <w:p>
      <w:pPr>
        <w:pStyle w:val="Heading2"/>
        <w:spacing w:after="160" w:before="400"/>
      </w:pPr>
      <w:r>
        <w:t xml:space="preserve">9. Security Policy</w:t>
      </w:r>
    </w:p>
    <w:p>
      <w:pPr>
        <w:spacing w:after="160"/>
      </w:pPr>
      <w:r>
        <w:rPr>
          <w:sz w:val="22"/>
          <w:szCs w:val="22"/>
        </w:rPr>
        <w:t xml:space="preserve">The security policy defines how Semgrep responds to findings during a pipeline run. The policy is configured by the AppSec team in Semgrep Cloud and applied automatically to every scan.</w:t>
      </w:r>
    </w:p>
    <w:p>
      <w:pPr>
        <w:spacing w:after="120"/>
      </w:pPr>
    </w:p>
    <w:p>
      <w:pPr>
        <w:pStyle w:val="Heading3"/>
        <w:spacing w:after="120" w:before="280"/>
      </w:pPr>
      <w:r>
        <w:t xml:space="preserve">Severity Levels and Pipeline Actions</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340"/>
        <w:gridCol w:w="2340"/>
        <w:gridCol w:w="2340"/>
        <w:gridCol w:w="2340"/>
      </w:tblGrid>
      <w:tr>
        <w:tc>
          <w:tcPr>
            <w:tcW w:type="dxa" w:w="2340"/>
            <w:shd w:fill="1F3864" w:color="auto" w:val="clear"/>
            <w:tcMar>
              <w:top w:type="dxa" w:w="80"/>
              <w:left w:type="dxa" w:w="100"/>
              <w:bottom w:type="dxa" w:w="80"/>
              <w:right w:type="dxa" w:w="100"/>
            </w:tcMar>
          </w:tcPr>
          <w:p>
            <w:pPr>
              <w:jc w:val="center"/>
            </w:pPr>
            <w:r>
              <w:rPr>
                <w:b/>
                <w:bCs/>
                <w:color w:val="FFFFFF"/>
                <w:sz w:val="20"/>
                <w:szCs w:val="20"/>
              </w:rPr>
              <w:t xml:space="preserve">Severity</w:t>
            </w:r>
          </w:p>
        </w:tc>
        <w:tc>
          <w:tcPr>
            <w:tcW w:type="dxa" w:w="2340"/>
            <w:shd w:fill="1F3864" w:color="auto" w:val="clear"/>
            <w:tcMar>
              <w:top w:type="dxa" w:w="80"/>
              <w:left w:type="dxa" w:w="100"/>
              <w:bottom w:type="dxa" w:w="80"/>
              <w:right w:type="dxa" w:w="100"/>
            </w:tcMar>
          </w:tcPr>
          <w:p>
            <w:pPr>
              <w:jc w:val="center"/>
            </w:pPr>
            <w:r>
              <w:rPr>
                <w:b/>
                <w:bCs/>
                <w:color w:val="FFFFFF"/>
                <w:sz w:val="20"/>
                <w:szCs w:val="20"/>
              </w:rPr>
              <w:t xml:space="preserve">Pipeline Action</w:t>
            </w:r>
          </w:p>
        </w:tc>
        <w:tc>
          <w:tcPr>
            <w:tcW w:type="dxa" w:w="2340"/>
            <w:shd w:fill="1F3864" w:color="auto" w:val="clear"/>
            <w:tcMar>
              <w:top w:type="dxa" w:w="80"/>
              <w:left w:type="dxa" w:w="100"/>
              <w:bottom w:type="dxa" w:w="80"/>
              <w:right w:type="dxa" w:w="100"/>
            </w:tcMar>
          </w:tcPr>
          <w:p>
            <w:pPr>
              <w:jc w:val="center"/>
            </w:pPr>
            <w:r>
              <w:rPr>
                <w:b/>
                <w:bCs/>
                <w:color w:val="FFFFFF"/>
                <w:sz w:val="20"/>
                <w:szCs w:val="20"/>
              </w:rPr>
              <w:t xml:space="preserve">Remediation SLA</w:t>
            </w:r>
          </w:p>
        </w:tc>
        <w:tc>
          <w:tcPr>
            <w:tcW w:type="dxa" w:w="2340"/>
            <w:shd w:fill="1F3864" w:color="auto" w:val="clear"/>
            <w:tcMar>
              <w:top w:type="dxa" w:w="80"/>
              <w:left w:type="dxa" w:w="100"/>
              <w:bottom w:type="dxa" w:w="80"/>
              <w:right w:type="dxa" w:w="100"/>
            </w:tcMar>
          </w:tcPr>
          <w:p>
            <w:pPr>
              <w:jc w:val="center"/>
            </w:pPr>
            <w:r>
              <w:rPr>
                <w:b/>
                <w:bCs/>
                <w:color w:val="FFFFFF"/>
                <w:sz w:val="20"/>
                <w:szCs w:val="20"/>
              </w:rPr>
              <w:t xml:space="preserve">Priority</w:t>
            </w:r>
          </w:p>
        </w:tc>
      </w:tr>
      <w:tr>
        <w:tc>
          <w:tcPr>
            <w:tcW w:type="dxa" w:w="2340"/>
            <w:shd w:fill="FFE0E0" w:color="auto" w:val="clear"/>
            <w:tcMar>
              <w:top w:type="dxa" w:w="80"/>
              <w:left w:type="dxa" w:w="100"/>
              <w:bottom w:type="dxa" w:w="80"/>
              <w:right w:type="dxa" w:w="100"/>
            </w:tcMar>
          </w:tcPr>
          <w:p>
            <w:pPr>
              <w:jc w:val="center"/>
            </w:pPr>
            <w:r>
              <w:rPr>
                <w:sz w:val="20"/>
                <w:szCs w:val="20"/>
              </w:rPr>
              <w:t xml:space="preserve">Critical</w:t>
            </w:r>
          </w:p>
        </w:tc>
        <w:tc>
          <w:tcPr>
            <w:tcW w:type="dxa" w:w="2340"/>
            <w:shd w:fill="FFFFFF" w:color="auto" w:val="clear"/>
            <w:tcMar>
              <w:top w:type="dxa" w:w="80"/>
              <w:left w:type="dxa" w:w="100"/>
              <w:bottom w:type="dxa" w:w="80"/>
              <w:right w:type="dxa" w:w="100"/>
            </w:tcMar>
          </w:tcPr>
          <w:p>
            <w:pPr>
              <w:jc w:val="center"/>
            </w:pPr>
            <w:r>
              <w:rPr>
                <w:sz w:val="20"/>
                <w:szCs w:val="20"/>
              </w:rPr>
              <w:t xml:space="preserve">Blocks PR merge</w:t>
            </w:r>
          </w:p>
        </w:tc>
        <w:tc>
          <w:tcPr>
            <w:tcW w:type="dxa" w:w="2340"/>
            <w:shd w:fill="FFFFFF" w:color="auto" w:val="clear"/>
            <w:tcMar>
              <w:top w:type="dxa" w:w="80"/>
              <w:left w:type="dxa" w:w="100"/>
              <w:bottom w:type="dxa" w:w="80"/>
              <w:right w:type="dxa" w:w="100"/>
            </w:tcMar>
          </w:tcPr>
          <w:p>
            <w:pPr>
              <w:jc w:val="center"/>
            </w:pPr>
            <w:r>
              <w:rPr>
                <w:sz w:val="20"/>
                <w:szCs w:val="20"/>
              </w:rPr>
              <w:t xml:space="preserve">48 hours</w:t>
            </w:r>
          </w:p>
        </w:tc>
        <w:tc>
          <w:tcPr>
            <w:tcW w:type="dxa" w:w="2340"/>
            <w:shd w:fill="FFFFFF" w:color="auto" w:val="clear"/>
            <w:tcMar>
              <w:top w:type="dxa" w:w="80"/>
              <w:left w:type="dxa" w:w="100"/>
              <w:bottom w:type="dxa" w:w="80"/>
              <w:right w:type="dxa" w:w="100"/>
            </w:tcMar>
          </w:tcPr>
          <w:p>
            <w:pPr>
              <w:jc w:val="center"/>
            </w:pPr>
            <w:r>
              <w:rPr>
                <w:sz w:val="20"/>
                <w:szCs w:val="20"/>
              </w:rPr>
              <w:t xml:space="preserve">Immediate</w:t>
            </w:r>
          </w:p>
        </w:tc>
      </w:tr>
      <w:tr>
        <w:tc>
          <w:tcPr>
            <w:tcW w:type="dxa" w:w="2340"/>
            <w:shd w:fill="FFE8CC" w:color="auto" w:val="clear"/>
            <w:tcMar>
              <w:top w:type="dxa" w:w="80"/>
              <w:left w:type="dxa" w:w="100"/>
              <w:bottom w:type="dxa" w:w="80"/>
              <w:right w:type="dxa" w:w="100"/>
            </w:tcMar>
          </w:tcPr>
          <w:p>
            <w:pPr>
              <w:jc w:val="center"/>
            </w:pPr>
            <w:r>
              <w:rPr>
                <w:sz w:val="20"/>
                <w:szCs w:val="20"/>
              </w:rPr>
              <w:t xml:space="preserve">High</w:t>
            </w:r>
          </w:p>
        </w:tc>
        <w:tc>
          <w:tcPr>
            <w:tcW w:type="dxa" w:w="2340"/>
            <w:shd w:fill="FFFFFF" w:color="auto" w:val="clear"/>
            <w:tcMar>
              <w:top w:type="dxa" w:w="80"/>
              <w:left w:type="dxa" w:w="100"/>
              <w:bottom w:type="dxa" w:w="80"/>
              <w:right w:type="dxa" w:w="100"/>
            </w:tcMar>
          </w:tcPr>
          <w:p>
            <w:pPr>
              <w:jc w:val="center"/>
            </w:pPr>
            <w:r>
              <w:rPr>
                <w:sz w:val="20"/>
                <w:szCs w:val="20"/>
              </w:rPr>
              <w:t xml:space="preserve">Blocks PR merge</w:t>
            </w:r>
          </w:p>
        </w:tc>
        <w:tc>
          <w:tcPr>
            <w:tcW w:type="dxa" w:w="2340"/>
            <w:shd w:fill="FFFFFF" w:color="auto" w:val="clear"/>
            <w:tcMar>
              <w:top w:type="dxa" w:w="80"/>
              <w:left w:type="dxa" w:w="100"/>
              <w:bottom w:type="dxa" w:w="80"/>
              <w:right w:type="dxa" w:w="100"/>
            </w:tcMar>
          </w:tcPr>
          <w:p>
            <w:pPr>
              <w:jc w:val="center"/>
            </w:pPr>
            <w:r>
              <w:rPr>
                <w:sz w:val="20"/>
                <w:szCs w:val="20"/>
              </w:rPr>
              <w:t xml:space="preserve">1 week</w:t>
            </w:r>
          </w:p>
        </w:tc>
        <w:tc>
          <w:tcPr>
            <w:tcW w:type="dxa" w:w="2340"/>
            <w:shd w:fill="FFFFFF" w:color="auto" w:val="clear"/>
            <w:tcMar>
              <w:top w:type="dxa" w:w="80"/>
              <w:left w:type="dxa" w:w="100"/>
              <w:bottom w:type="dxa" w:w="80"/>
              <w:right w:type="dxa" w:w="100"/>
            </w:tcMar>
          </w:tcPr>
          <w:p>
            <w:pPr>
              <w:jc w:val="center"/>
            </w:pPr>
            <w:r>
              <w:rPr>
                <w:sz w:val="20"/>
                <w:szCs w:val="20"/>
              </w:rPr>
              <w:t xml:space="preserve">High</w:t>
            </w:r>
          </w:p>
        </w:tc>
      </w:tr>
      <w:tr>
        <w:tc>
          <w:tcPr>
            <w:tcW w:type="dxa" w:w="2340"/>
            <w:shd w:fill="FFFACD" w:color="auto" w:val="clear"/>
            <w:tcMar>
              <w:top w:type="dxa" w:w="80"/>
              <w:left w:type="dxa" w:w="100"/>
              <w:bottom w:type="dxa" w:w="80"/>
              <w:right w:type="dxa" w:w="100"/>
            </w:tcMar>
          </w:tcPr>
          <w:p>
            <w:pPr>
              <w:jc w:val="center"/>
            </w:pPr>
            <w:r>
              <w:rPr>
                <w:sz w:val="20"/>
                <w:szCs w:val="20"/>
              </w:rPr>
              <w:t xml:space="preserve">Medium</w:t>
            </w:r>
          </w:p>
        </w:tc>
        <w:tc>
          <w:tcPr>
            <w:tcW w:type="dxa" w:w="2340"/>
            <w:shd w:fill="FFFFFF" w:color="auto" w:val="clear"/>
            <w:tcMar>
              <w:top w:type="dxa" w:w="80"/>
              <w:left w:type="dxa" w:w="100"/>
              <w:bottom w:type="dxa" w:w="80"/>
              <w:right w:type="dxa" w:w="100"/>
            </w:tcMar>
          </w:tcPr>
          <w:p>
            <w:pPr>
              <w:jc w:val="center"/>
            </w:pPr>
            <w:r>
              <w:rPr>
                <w:sz w:val="20"/>
                <w:szCs w:val="20"/>
              </w:rPr>
              <w:t xml:space="preserve">Warning — does not block</w:t>
            </w:r>
          </w:p>
        </w:tc>
        <w:tc>
          <w:tcPr>
            <w:tcW w:type="dxa" w:w="2340"/>
            <w:shd w:fill="FFFFFF" w:color="auto" w:val="clear"/>
            <w:tcMar>
              <w:top w:type="dxa" w:w="80"/>
              <w:left w:type="dxa" w:w="100"/>
              <w:bottom w:type="dxa" w:w="80"/>
              <w:right w:type="dxa" w:w="100"/>
            </w:tcMar>
          </w:tcPr>
          <w:p>
            <w:pPr>
              <w:jc w:val="center"/>
            </w:pPr>
            <w:r>
              <w:rPr>
                <w:sz w:val="20"/>
                <w:szCs w:val="20"/>
              </w:rPr>
              <w:t xml:space="preserve">2 weeks</w:t>
            </w:r>
          </w:p>
        </w:tc>
        <w:tc>
          <w:tcPr>
            <w:tcW w:type="dxa" w:w="2340"/>
            <w:shd w:fill="FFFFFF" w:color="auto" w:val="clear"/>
            <w:tcMar>
              <w:top w:type="dxa" w:w="80"/>
              <w:left w:type="dxa" w:w="100"/>
              <w:bottom w:type="dxa" w:w="80"/>
              <w:right w:type="dxa" w:w="100"/>
            </w:tcMar>
          </w:tcPr>
          <w:p>
            <w:pPr>
              <w:jc w:val="center"/>
            </w:pPr>
            <w:r>
              <w:rPr>
                <w:sz w:val="20"/>
                <w:szCs w:val="20"/>
              </w:rPr>
              <w:t xml:space="preserve">Medium</w:t>
            </w:r>
          </w:p>
        </w:tc>
      </w:tr>
      <w:tr>
        <w:tc>
          <w:tcPr>
            <w:tcW w:type="dxa" w:w="2340"/>
            <w:shd w:fill="F0F0F0" w:color="auto" w:val="clear"/>
            <w:tcMar>
              <w:top w:type="dxa" w:w="80"/>
              <w:left w:type="dxa" w:w="100"/>
              <w:bottom w:type="dxa" w:w="80"/>
              <w:right w:type="dxa" w:w="100"/>
            </w:tcMar>
          </w:tcPr>
          <w:p>
            <w:pPr>
              <w:jc w:val="center"/>
            </w:pPr>
            <w:r>
              <w:rPr>
                <w:sz w:val="20"/>
                <w:szCs w:val="20"/>
              </w:rPr>
              <w:t xml:space="preserve">Low</w:t>
            </w:r>
          </w:p>
        </w:tc>
        <w:tc>
          <w:tcPr>
            <w:tcW w:type="dxa" w:w="2340"/>
            <w:shd w:fill="FFFFFF" w:color="auto" w:val="clear"/>
            <w:tcMar>
              <w:top w:type="dxa" w:w="80"/>
              <w:left w:type="dxa" w:w="100"/>
              <w:bottom w:type="dxa" w:w="80"/>
              <w:right w:type="dxa" w:w="100"/>
            </w:tcMar>
          </w:tcPr>
          <w:p>
            <w:pPr>
              <w:jc w:val="center"/>
            </w:pPr>
            <w:r>
              <w:rPr>
                <w:sz w:val="20"/>
                <w:szCs w:val="20"/>
              </w:rPr>
              <w:t xml:space="preserve">Informational only</w:t>
            </w:r>
          </w:p>
        </w:tc>
        <w:tc>
          <w:tcPr>
            <w:tcW w:type="dxa" w:w="2340"/>
            <w:shd w:fill="FFFFFF" w:color="auto" w:val="clear"/>
            <w:tcMar>
              <w:top w:type="dxa" w:w="80"/>
              <w:left w:type="dxa" w:w="100"/>
              <w:bottom w:type="dxa" w:w="80"/>
              <w:right w:type="dxa" w:w="100"/>
            </w:tcMar>
          </w:tcPr>
          <w:p>
            <w:pPr>
              <w:jc w:val="center"/>
            </w:pPr>
            <w:r>
              <w:rPr>
                <w:sz w:val="20"/>
                <w:szCs w:val="20"/>
              </w:rPr>
              <w:t xml:space="preserve">30 days</w:t>
            </w:r>
          </w:p>
        </w:tc>
        <w:tc>
          <w:tcPr>
            <w:tcW w:type="dxa" w:w="2340"/>
            <w:shd w:fill="FFFFFF" w:color="auto" w:val="clear"/>
            <w:tcMar>
              <w:top w:type="dxa" w:w="80"/>
              <w:left w:type="dxa" w:w="100"/>
              <w:bottom w:type="dxa" w:w="80"/>
              <w:right w:type="dxa" w:w="100"/>
            </w:tcMar>
          </w:tcPr>
          <w:p>
            <w:pPr>
              <w:jc w:val="center"/>
            </w:pPr>
            <w:r>
              <w:rPr>
                <w:sz w:val="20"/>
                <w:szCs w:val="20"/>
              </w:rPr>
              <w:t xml:space="preserve">Low</w:t>
            </w:r>
          </w:p>
        </w:tc>
      </w:tr>
    </w:tbl>
    <w:p>
      <w:pPr>
        <w:spacing w:after="120"/>
      </w:pPr>
    </w:p>
    <w:p>
      <w:pPr>
        <w:spacing w:after="160"/>
      </w:pPr>
      <w:r>
        <w:rPr>
          <w:sz w:val="22"/>
          <w:szCs w:val="22"/>
        </w:rPr>
        <w:t xml:space="preserve">When a Critical or High severity finding is detected in a pull request, the pipeline fails and the PR is blocked from merging. The developer must resolve or request an exception before the PR can proceed.</w:t>
      </w:r>
    </w:p>
    <w:p>
      <w:pPr>
        <w:spacing w:after="160"/>
      </w:pPr>
      <w:r>
        <w:rPr>
          <w:sz w:val="22"/>
          <w:szCs w:val="22"/>
        </w:rPr>
        <w:t xml:space="preserve">Medium severity findings generate a warning in the pipeline but do not block the merge. Low severity findings are logged as informational and do not affect the pipeline result.</w:t>
      </w:r>
    </w:p>
    <w:p>
      <w:pPr>
        <w:spacing w:after="120"/>
      </w:pPr>
    </w:p>
    <w:tbl>
      <w:tblPr>
        <w:tblW w:type="dxa" w:w="936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c>
          <w:tcPr>
            <w:tcW w:type="dxa" w:w="9360"/>
            <w:shd w:fill="FFF3CD" w:color="auto" w:val="clear"/>
            <w:tcMar>
              <w:top w:type="dxa" w:w="100"/>
              <w:left w:type="dxa" w:w="150"/>
              <w:bottom w:type="dxa" w:w="100"/>
              <w:right w:type="dxa" w:w="150"/>
            </w:tcMar>
          </w:tcPr>
          <w:p>
            <w:pPr>
              <w:spacing w:after="60"/>
            </w:pPr>
            <w:r>
              <w:rPr>
                <w:b/>
                <w:bCs/>
                <w:sz w:val="20"/>
                <w:szCs w:val="20"/>
              </w:rPr>
              <w:t xml:space="preserve">⚠  Important</w:t>
            </w:r>
          </w:p>
          <w:p>
            <w:r>
              <w:rPr>
                <w:sz w:val="20"/>
                <w:szCs w:val="20"/>
              </w:rPr>
              <w:t xml:space="preserve">The security policy is managed by the AppSec team. Developers should not attempt to modify Semgrep rules or suppress findings without AppSec approval.</w:t>
            </w:r>
          </w:p>
        </w:tc>
      </w:tr>
    </w:tbl>
    <w:p>
      <w:pPr>
        <w:spacing w:after="120"/>
      </w:pPr>
    </w:p>
    <w:p>
      <w:pPr>
        <w:pBdr>
          <w:bottom w:val="single" w:color="DDDDDD" w:sz="6" w:space="1"/>
        </w:pBdr>
        <w:spacing w:after="200"/>
      </w:pPr>
    </w:p>
    <w:p>
      <w:pPr>
        <w:pStyle w:val="Heading2"/>
        <w:spacing w:after="160" w:before="400"/>
      </w:pPr>
      <w:r>
        <w:t xml:space="preserve">10. Remediation SLAs</w:t>
      </w:r>
    </w:p>
    <w:p>
      <w:pPr>
        <w:spacing w:after="160"/>
      </w:pPr>
      <w:r>
        <w:rPr>
          <w:sz w:val="22"/>
          <w:szCs w:val="22"/>
        </w:rPr>
        <w:t xml:space="preserve">Remediation SLAs define the expected timeframe within which a confirmed security finding must be resolved. SLAs are calculated from the date the finding is first detected and confirmed as a true positive.</w:t>
      </w:r>
    </w:p>
    <w:p>
      <w:pPr>
        <w:spacing w:after="120"/>
      </w:pPr>
    </w:p>
    <w:p>
      <w:pPr>
        <w:pStyle w:val="ListParagraph"/>
        <w:numPr>
          <w:ilvl w:val="0"/>
          <w:numId w:val="1"/>
        </w:numPr>
        <w:spacing w:after="100"/>
      </w:pPr>
      <w:r>
        <w:rPr>
          <w:b/>
          <w:bCs/>
          <w:sz w:val="22"/>
          <w:szCs w:val="22"/>
        </w:rPr>
        <w:t xml:space="preserve">Critical</w:t>
      </w:r>
      <w:r>
        <w:rPr>
          <w:sz w:val="22"/>
          <w:szCs w:val="22"/>
        </w:rPr>
        <w:t xml:space="preserve"> – 48 hours from detection</w:t>
      </w:r>
    </w:p>
    <w:p>
      <w:pPr>
        <w:pStyle w:val="ListParagraph"/>
        <w:numPr>
          <w:ilvl w:val="0"/>
          <w:numId w:val="1"/>
        </w:numPr>
        <w:spacing w:after="100"/>
      </w:pPr>
      <w:r>
        <w:rPr>
          <w:b/>
          <w:bCs/>
          <w:sz w:val="22"/>
          <w:szCs w:val="22"/>
        </w:rPr>
        <w:t xml:space="preserve">High</w:t>
      </w:r>
      <w:r>
        <w:rPr>
          <w:sz w:val="22"/>
          <w:szCs w:val="22"/>
        </w:rPr>
        <w:t xml:space="preserve"> – 1 week from detection</w:t>
      </w:r>
    </w:p>
    <w:p>
      <w:pPr>
        <w:pStyle w:val="ListParagraph"/>
        <w:numPr>
          <w:ilvl w:val="0"/>
          <w:numId w:val="1"/>
        </w:numPr>
        <w:spacing w:after="100"/>
      </w:pPr>
      <w:r>
        <w:rPr>
          <w:b/>
          <w:bCs/>
          <w:sz w:val="22"/>
          <w:szCs w:val="22"/>
        </w:rPr>
        <w:t xml:space="preserve">Medium</w:t>
      </w:r>
      <w:r>
        <w:rPr>
          <w:sz w:val="22"/>
          <w:szCs w:val="22"/>
        </w:rPr>
        <w:t xml:space="preserve"> – 2 weeks from detection</w:t>
      </w:r>
    </w:p>
    <w:p>
      <w:pPr>
        <w:pStyle w:val="ListParagraph"/>
        <w:numPr>
          <w:ilvl w:val="0"/>
          <w:numId w:val="1"/>
        </w:numPr>
        <w:spacing w:after="100"/>
      </w:pPr>
      <w:r>
        <w:rPr>
          <w:b/>
          <w:bCs/>
          <w:sz w:val="22"/>
          <w:szCs w:val="22"/>
        </w:rPr>
        <w:t xml:space="preserve">Low</w:t>
      </w:r>
      <w:r>
        <w:rPr>
          <w:sz w:val="22"/>
          <w:szCs w:val="22"/>
        </w:rPr>
        <w:t xml:space="preserve"> – 30 days from detection</w:t>
      </w:r>
    </w:p>
    <w:p>
      <w:pPr>
        <w:spacing w:after="120"/>
      </w:pPr>
    </w:p>
    <w:p>
      <w:pPr>
        <w:spacing w:after="160"/>
      </w:pPr>
      <w:r>
        <w:rPr>
          <w:sz w:val="22"/>
          <w:szCs w:val="22"/>
        </w:rPr>
        <w:t xml:space="preserve">If remediation cannot be completed within the SLA due to technical constraints, raise the issue with the AppSec team. An exception may be granted with documented justification and an agreed alternative timeline.</w:t>
      </w:r>
    </w:p>
    <w:p>
      <w:pPr>
        <w:spacing w:after="160"/>
      </w:pPr>
      <w:r>
        <w:rPr>
          <w:sz w:val="22"/>
          <w:szCs w:val="22"/>
        </w:rPr>
        <w:t xml:space="preserve">Findings marked as Acceptable Risk or False Positive are exempt from SLA tracking once approved by the AppSec team.</w:t>
      </w:r>
    </w:p>
    <w:p>
      <w:pPr>
        <w:spacing w:after="120"/>
      </w:pPr>
    </w:p>
    <w:tbl>
      <w:tblPr>
        <w:tblW w:type="dxa" w:w="9360"/>
        <w:tblBorders>
          <w:top w:val="single" w:color="2E5F8A" w:sz="4"/>
          <w:left w:val="single" w:color="2E5F8A" w:sz="4"/>
          <w:bottom w:val="single" w:color="2E5F8A" w:sz="4"/>
          <w:right w:val="single" w:color="2E5F8A" w:sz="4"/>
          <w:insideH w:val="single" w:color="auto" w:sz="4"/>
          <w:insideV w:val="single" w:color="auto" w:sz="4"/>
        </w:tblBorders>
      </w:tblPr>
      <w:tblGrid>
        <w:gridCol w:w="100"/>
      </w:tblGrid>
      <w:tr>
        <w:tc>
          <w:tcPr>
            <w:tcW w:type="dxa" w:w="9360"/>
            <w:shd w:fill="D6E4F0" w:color="auto" w:val="clear"/>
            <w:tcMar>
              <w:top w:type="dxa" w:w="100"/>
              <w:left w:type="dxa" w:w="150"/>
              <w:bottom w:type="dxa" w:w="100"/>
              <w:right w:type="dxa" w:w="150"/>
            </w:tcMar>
          </w:tcPr>
          <w:p>
            <w:pPr>
              <w:spacing w:after="60"/>
            </w:pPr>
            <w:r>
              <w:rPr>
                <w:b/>
                <w:bCs/>
                <w:sz w:val="20"/>
                <w:szCs w:val="20"/>
              </w:rPr>
              <w:t xml:space="preserve">ⓘ  Note</w:t>
            </w:r>
          </w:p>
          <w:p>
            <w:r>
              <w:rPr>
                <w:sz w:val="20"/>
                <w:szCs w:val="20"/>
              </w:rPr>
              <w:t xml:space="preserve">SLA timers begin when a finding is confirmed as a true positive. False positives and ignored findings are excluded from SLA tracking.</w:t>
            </w:r>
          </w:p>
        </w:tc>
      </w:tr>
    </w:tbl>
    <w:p>
      <w:pPr>
        <w:spacing w:after="120"/>
      </w:pPr>
    </w:p>
    <w:p>
      <w:pPr>
        <w:pBdr>
          <w:bottom w:val="single" w:color="DDDDDD" w:sz="6" w:space="1"/>
        </w:pBdr>
        <w:spacing w:after="200"/>
      </w:pPr>
    </w:p>
    <w:p>
      <w:pPr>
        <w:pStyle w:val="Heading2"/>
        <w:spacing w:after="160" w:before="400"/>
      </w:pPr>
      <w:r>
        <w:t xml:space="preserve">11. False Positives</w:t>
      </w:r>
    </w:p>
    <w:p>
      <w:pPr>
        <w:spacing w:after="160"/>
      </w:pPr>
      <w:r>
        <w:rPr>
          <w:sz w:val="22"/>
          <w:szCs w:val="22"/>
        </w:rPr>
        <w:t xml:space="preserve">A false positive is a finding that Semgrep flags as a potential vulnerability but which, upon review, does not represent a real security risk in the specific context of the code.</w:t>
      </w:r>
    </w:p>
    <w:p>
      <w:pPr>
        <w:spacing w:after="120"/>
      </w:pPr>
    </w:p>
    <w:p>
      <w:pPr>
        <w:pStyle w:val="Heading3"/>
        <w:spacing w:after="120" w:before="280"/>
      </w:pPr>
      <w:r>
        <w:t xml:space="preserve">How to Identify a False Positive</w:t>
      </w:r>
    </w:p>
    <w:p>
      <w:pPr>
        <w:spacing w:after="160"/>
      </w:pPr>
      <w:r>
        <w:rPr>
          <w:sz w:val="22"/>
          <w:szCs w:val="22"/>
        </w:rPr>
        <w:t xml:space="preserve">A finding may be a false positive if:</w:t>
      </w:r>
    </w:p>
    <w:p>
      <w:pPr>
        <w:pStyle w:val="ListParagraph"/>
        <w:numPr>
          <w:ilvl w:val="0"/>
          <w:numId w:val="1"/>
        </w:numPr>
        <w:spacing w:after="100"/>
      </w:pPr>
      <w:r>
        <w:rPr>
          <w:sz w:val="22"/>
          <w:szCs w:val="22"/>
        </w:rPr>
        <w:t xml:space="preserve">The input is validated or sanitised elsewhere in the codebase before reaching the flagged function</w:t>
      </w:r>
    </w:p>
    <w:p>
      <w:pPr>
        <w:pStyle w:val="ListParagraph"/>
        <w:numPr>
          <w:ilvl w:val="0"/>
          <w:numId w:val="1"/>
        </w:numPr>
        <w:spacing w:after="100"/>
      </w:pPr>
      <w:r>
        <w:rPr>
          <w:sz w:val="22"/>
          <w:szCs w:val="22"/>
        </w:rPr>
        <w:t xml:space="preserve">The flagged code path is not reachable from any user-controlled input</w:t>
      </w:r>
    </w:p>
    <w:p>
      <w:pPr>
        <w:pStyle w:val="ListParagraph"/>
        <w:numPr>
          <w:ilvl w:val="0"/>
          <w:numId w:val="1"/>
        </w:numPr>
        <w:spacing w:after="100"/>
      </w:pPr>
      <w:r>
        <w:rPr>
          <w:sz w:val="22"/>
          <w:szCs w:val="22"/>
        </w:rPr>
        <w:t xml:space="preserve">The rule was written for a different framework or language pattern than the one in use</w:t>
      </w:r>
    </w:p>
    <w:p>
      <w:pPr>
        <w:pStyle w:val="ListParagraph"/>
        <w:numPr>
          <w:ilvl w:val="0"/>
          <w:numId w:val="1"/>
        </w:numPr>
        <w:spacing w:after="100"/>
      </w:pPr>
      <w:r>
        <w:rPr>
          <w:sz w:val="22"/>
          <w:szCs w:val="22"/>
        </w:rPr>
        <w:t xml:space="preserve">The data is hardcoded and not influenced by external input</w:t>
      </w:r>
    </w:p>
    <w:p>
      <w:pPr>
        <w:spacing w:after="120"/>
      </w:pPr>
    </w:p>
    <w:p>
      <w:pPr>
        <w:pStyle w:val="Heading3"/>
        <w:spacing w:after="120" w:before="280"/>
      </w:pPr>
      <w:r>
        <w:t xml:space="preserve">Ignore Workflow</w:t>
      </w:r>
    </w:p>
    <w:p>
      <w:pPr>
        <w:pStyle w:val="ListParagraph"/>
        <w:numPr>
          <w:ilvl w:val="0"/>
          <w:numId w:val="2"/>
        </w:numPr>
        <w:spacing w:after="100"/>
      </w:pPr>
      <w:r>
        <w:rPr>
          <w:sz w:val="22"/>
          <w:szCs w:val="22"/>
        </w:rPr>
        <w:t xml:space="preserve">Open the finding in Semgrep Cloud</w:t>
      </w:r>
    </w:p>
    <w:p>
      <w:pPr>
        <w:pStyle w:val="ListParagraph"/>
        <w:numPr>
          <w:ilvl w:val="0"/>
          <w:numId w:val="2"/>
        </w:numPr>
        <w:spacing w:after="100"/>
      </w:pPr>
      <w:r>
        <w:rPr>
          <w:sz w:val="22"/>
          <w:szCs w:val="22"/>
        </w:rPr>
        <w:t xml:space="preserve">Review the dataflow trace — check the Source and Sink</w:t>
      </w:r>
    </w:p>
    <w:p>
      <w:pPr>
        <w:pStyle w:val="ListParagraph"/>
        <w:numPr>
          <w:ilvl w:val="0"/>
          <w:numId w:val="2"/>
        </w:numPr>
        <w:spacing w:after="100"/>
      </w:pPr>
      <w:r>
        <w:rPr>
          <w:sz w:val="22"/>
          <w:szCs w:val="22"/>
        </w:rPr>
        <w:t xml:space="preserve">Confirm that the flagged code is not exploitable in the current context</w:t>
      </w:r>
    </w:p>
    <w:p>
      <w:pPr>
        <w:pStyle w:val="ListParagraph"/>
        <w:numPr>
          <w:ilvl w:val="0"/>
          <w:numId w:val="2"/>
        </w:numPr>
        <w:spacing w:after="100"/>
      </w:pPr>
      <w:r>
        <w:rPr>
          <w:sz w:val="22"/>
          <w:szCs w:val="22"/>
        </w:rPr>
        <w:t xml:space="preserve">Click the Ignore button</w:t>
      </w:r>
    </w:p>
    <w:p>
      <w:pPr>
        <w:pStyle w:val="ListParagraph"/>
        <w:numPr>
          <w:ilvl w:val="0"/>
          <w:numId w:val="2"/>
        </w:numPr>
        <w:spacing w:after="100"/>
      </w:pPr>
      <w:r>
        <w:rPr>
          <w:sz w:val="22"/>
          <w:szCs w:val="22"/>
        </w:rPr>
        <w:t xml:space="preserve">Select False positive as the ignore reason</w:t>
      </w:r>
    </w:p>
    <w:p>
      <w:pPr>
        <w:pStyle w:val="ListParagraph"/>
        <w:numPr>
          <w:ilvl w:val="0"/>
          <w:numId w:val="2"/>
        </w:numPr>
        <w:spacing w:after="100"/>
      </w:pPr>
      <w:r>
        <w:rPr>
          <w:sz w:val="22"/>
          <w:szCs w:val="22"/>
        </w:rPr>
        <w:t xml:space="preserve">Add a comment explaining why the finding is not a valid vulnerability</w:t>
      </w:r>
    </w:p>
    <w:p>
      <w:pPr>
        <w:pStyle w:val="ListParagraph"/>
        <w:numPr>
          <w:ilvl w:val="0"/>
          <w:numId w:val="2"/>
        </w:numPr>
        <w:spacing w:after="100"/>
      </w:pPr>
      <w:r>
        <w:rPr>
          <w:sz w:val="22"/>
          <w:szCs w:val="22"/>
        </w:rPr>
        <w:t xml:space="preserve">Click Ignore to confirm</w:t>
      </w:r>
    </w:p>
    <w:p>
      <w:pPr>
        <w:spacing w:after="120"/>
      </w:pPr>
    </w:p>
    <w:tbl>
      <w:tblPr>
        <w:tblW w:type="dxa" w:w="9360"/>
        <w:tblBorders>
          <w:top w:val="dashed" w:color="999999" w:sz="4"/>
          <w:left w:val="dashed" w:color="999999" w:sz="4"/>
          <w:bottom w:val="dashed" w:color="999999" w:sz="4"/>
          <w:right w:val="dashed" w:color="999999" w:sz="4"/>
          <w:insideH w:val="single" w:color="auto" w:sz="4"/>
          <w:insideV w:val="single" w:color="auto" w:sz="4"/>
        </w:tblBorders>
      </w:tblPr>
      <w:tblGrid>
        <w:gridCol w:w="100"/>
      </w:tblGrid>
      <w:tr>
        <w:tc>
          <w:tcPr>
            <w:tcW w:type="dxa" w:w="9360"/>
            <w:shd w:fill="EFEFEF" w:color="auto" w:val="clear"/>
            <w:tcMar>
              <w:top w:type="dxa" w:w="180"/>
              <w:left w:type="dxa" w:w="150"/>
              <w:bottom w:type="dxa" w:w="180"/>
              <w:right w:type="dxa" w:w="150"/>
            </w:tcMar>
          </w:tcPr>
          <w:p>
            <w:pPr>
              <w:jc w:val="center"/>
            </w:pPr>
            <w:r>
              <w:rPr>
                <w:i/>
                <w:iCs/>
                <w:color w:val="666666"/>
                <w:sz w:val="20"/>
                <w:szCs w:val="20"/>
              </w:rPr>
              <w:t xml:space="preserve">[ Screenshot: Semgrep Cloud Ignore dropdown with False positive selected and comment field ]</w:t>
            </w:r>
          </w:p>
        </w:tc>
      </w:tr>
    </w:tbl>
    <w:p>
      <w:pPr>
        <w:spacing w:after="120"/>
      </w:pPr>
    </w:p>
    <w:tbl>
      <w:tblPr>
        <w:tblW w:type="dxa" w:w="936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c>
          <w:tcPr>
            <w:tcW w:type="dxa" w:w="9360"/>
            <w:shd w:fill="FFF3CD" w:color="auto" w:val="clear"/>
            <w:tcMar>
              <w:top w:type="dxa" w:w="100"/>
              <w:left w:type="dxa" w:w="150"/>
              <w:bottom w:type="dxa" w:w="100"/>
              <w:right w:type="dxa" w:w="150"/>
            </w:tcMar>
          </w:tcPr>
          <w:p>
            <w:pPr>
              <w:spacing w:after="60"/>
            </w:pPr>
            <w:r>
              <w:rPr>
                <w:b/>
                <w:bCs/>
                <w:sz w:val="20"/>
                <w:szCs w:val="20"/>
              </w:rPr>
              <w:t xml:space="preserve">⚠  Important</w:t>
            </w:r>
          </w:p>
          <w:p>
            <w:r>
              <w:rPr>
                <w:sz w:val="20"/>
                <w:szCs w:val="20"/>
              </w:rPr>
              <w:t xml:space="preserve">If unsure whether a finding is a false positive, consult the AppSec team before ignoring. Incorrectly dismissing a real vulnerability creates untracked security risk.</w:t>
            </w:r>
          </w:p>
        </w:tc>
      </w:tr>
    </w:tbl>
    <w:p>
      <w:pPr>
        <w:spacing w:after="120"/>
      </w:pPr>
    </w:p>
    <w:p>
      <w:pPr>
        <w:pStyle w:val="Heading3"/>
        <w:spacing w:after="120" w:before="280"/>
      </w:pPr>
      <w:r>
        <w:t xml:space="preserve">Inline Suppression</w:t>
      </w:r>
    </w:p>
    <w:p>
      <w:pPr>
        <w:spacing w:after="160"/>
      </w:pPr>
      <w:r>
        <w:rPr>
          <w:sz w:val="22"/>
          <w:szCs w:val="22"/>
        </w:rPr>
        <w:t xml:space="preserve">For false positives detected by the VS Code extension or CLI, a finding can be suppressed inline by adding a comment on the flagged line:</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60"/>
            <w:shd w:fill="1E1E1E" w:color="auto" w:val="clear"/>
            <w:tcMar>
              <w:top w:type="dxa" w:w="120"/>
              <w:left w:type="dxa" w:w="150"/>
              <w:bottom w:type="dxa" w:w="120"/>
              <w:right w:type="dxa" w:w="150"/>
            </w:tcMar>
          </w:tcPr>
          <w:p>
            <w:pPr>
              <w:spacing w:after="40"/>
            </w:pPr>
            <w:r>
              <w:rPr>
                <w:rFonts w:ascii="Courier New" w:cs="Courier New" w:eastAsia="Courier New" w:hAnsi="Courier New"/>
                <w:color w:val="D4D4D4"/>
                <w:sz w:val="18"/>
                <w:szCs w:val="18"/>
              </w:rPr>
              <w:t xml:space="preserve">$cmd = shell_exec($safe_value); // nosemgrep</w:t>
            </w:r>
          </w:p>
        </w:tc>
      </w:tr>
    </w:tbl>
    <w:p>
      <w:pPr>
        <w:spacing w:after="120"/>
      </w:pPr>
    </w:p>
    <w:p>
      <w:pPr>
        <w:spacing w:after="160"/>
      </w:pPr>
      <w:r>
        <w:rPr>
          <w:sz w:val="22"/>
          <w:szCs w:val="22"/>
        </w:rPr>
        <w:t xml:space="preserve">The nosemgrep comment instructs Semgrep to skip that line in future scans. Use this sparingly and only after AppSec review.</w:t>
      </w:r>
    </w:p>
    <w:p>
      <w:pPr>
        <w:spacing w:after="120"/>
      </w:pPr>
    </w:p>
    <w:p>
      <w:pPr>
        <w:pBdr>
          <w:bottom w:val="single" w:color="DDDDDD" w:sz="6" w:space="1"/>
        </w:pBdr>
        <w:spacing w:after="200"/>
      </w:pPr>
    </w:p>
    <w:p>
      <w:pPr>
        <w:pStyle w:val="Heading2"/>
        <w:spacing w:after="160" w:before="400"/>
      </w:pPr>
      <w:r>
        <w:t xml:space="preserve">12. Learning Resources</w:t>
      </w:r>
    </w:p>
    <w:p>
      <w:pPr>
        <w:spacing w:after="160"/>
      </w:pPr>
      <w:r>
        <w:rPr>
          <w:sz w:val="22"/>
          <w:szCs w:val="22"/>
        </w:rPr>
        <w:t xml:space="preserve">The following resources are available for developers who want to learn more about Semgrep and application security best practices:</w:t>
      </w:r>
    </w:p>
    <w:p>
      <w:pPr>
        <w:spacing w:after="120"/>
      </w:pPr>
    </w:p>
    <w:p>
      <w:pPr>
        <w:pStyle w:val="Heading3"/>
        <w:spacing w:after="120" w:before="280"/>
      </w:pPr>
      <w:r>
        <w:t xml:space="preserve">Official Semgrep Documentation</w:t>
      </w:r>
    </w:p>
    <w:p>
      <w:pPr>
        <w:pStyle w:val="ListParagraph"/>
        <w:numPr>
          <w:ilvl w:val="0"/>
          <w:numId w:val="1"/>
        </w:numPr>
        <w:spacing w:after="100"/>
      </w:pPr>
      <w:r>
        <w:rPr>
          <w:sz w:val="22"/>
          <w:szCs w:val="22"/>
        </w:rPr>
        <w:t xml:space="preserve">Semgrep for Developers: docs.semgrep.dev/for-developers/overview</w:t>
      </w:r>
    </w:p>
    <w:p>
      <w:pPr>
        <w:pStyle w:val="ListParagraph"/>
        <w:numPr>
          <w:ilvl w:val="0"/>
          <w:numId w:val="1"/>
        </w:numPr>
        <w:spacing w:after="100"/>
      </w:pPr>
      <w:r>
        <w:rPr>
          <w:sz w:val="22"/>
          <w:szCs w:val="22"/>
        </w:rPr>
        <w:t xml:space="preserve">Quickstart Guide: docs.semgrep.dev/getting-started/quickstart</w:t>
      </w:r>
    </w:p>
    <w:p>
      <w:pPr>
        <w:pStyle w:val="ListParagraph"/>
        <w:numPr>
          <w:ilvl w:val="0"/>
          <w:numId w:val="1"/>
        </w:numPr>
        <w:spacing w:after="100"/>
      </w:pPr>
      <w:r>
        <w:rPr>
          <w:sz w:val="22"/>
          <w:szCs w:val="22"/>
        </w:rPr>
        <w:t xml:space="preserve">Supported Languages: docs.semgrep.dev/supported-languages</w:t>
      </w:r>
    </w:p>
    <w:p>
      <w:pPr>
        <w:pStyle w:val="ListParagraph"/>
        <w:numPr>
          <w:ilvl w:val="0"/>
          <w:numId w:val="1"/>
        </w:numPr>
        <w:spacing w:after="100"/>
      </w:pPr>
      <w:r>
        <w:rPr>
          <w:sz w:val="22"/>
          <w:szCs w:val="22"/>
        </w:rPr>
        <w:t xml:space="preserve">Semgrep Registry (public rules): semgrep.dev/r</w:t>
      </w:r>
    </w:p>
    <w:p>
      <w:pPr>
        <w:spacing w:after="120"/>
      </w:pPr>
    </w:p>
    <w:p>
      <w:pPr>
        <w:pStyle w:val="Heading3"/>
        <w:spacing w:after="120" w:before="280"/>
      </w:pPr>
      <w:r>
        <w:t xml:space="preserve">Security References</w:t>
      </w:r>
    </w:p>
    <w:p>
      <w:pPr>
        <w:pStyle w:val="ListParagraph"/>
        <w:numPr>
          <w:ilvl w:val="0"/>
          <w:numId w:val="1"/>
        </w:numPr>
        <w:spacing w:after="100"/>
      </w:pPr>
      <w:r>
        <w:rPr>
          <w:sz w:val="22"/>
          <w:szCs w:val="22"/>
        </w:rPr>
        <w:t xml:space="preserve">OWASP Top 10: owasp.org/www-project-top-ten</w:t>
      </w:r>
    </w:p>
    <w:p>
      <w:pPr>
        <w:pStyle w:val="ListParagraph"/>
        <w:numPr>
          <w:ilvl w:val="0"/>
          <w:numId w:val="1"/>
        </w:numPr>
        <w:spacing w:after="100"/>
      </w:pPr>
      <w:r>
        <w:rPr>
          <w:sz w:val="22"/>
          <w:szCs w:val="22"/>
        </w:rPr>
        <w:t xml:space="preserve">CWE (Common Weakness Enumeration): cwe.mitre.org</w:t>
      </w:r>
    </w:p>
    <w:p>
      <w:pPr>
        <w:pStyle w:val="ListParagraph"/>
        <w:numPr>
          <w:ilvl w:val="0"/>
          <w:numId w:val="1"/>
        </w:numPr>
        <w:spacing w:after="100"/>
      </w:pPr>
      <w:r>
        <w:rPr>
          <w:sz w:val="22"/>
          <w:szCs w:val="22"/>
        </w:rPr>
        <w:t xml:space="preserve">CVE Database: cve.mitre.org</w:t>
      </w:r>
    </w:p>
    <w:p>
      <w:pPr>
        <w:spacing w:after="120"/>
      </w:pPr>
    </w:p>
    <w:p>
      <w:pPr>
        <w:pStyle w:val="Heading3"/>
        <w:spacing w:after="120" w:before="280"/>
      </w:pPr>
      <w:r>
        <w:t xml:space="preserve">Internal Resources</w:t>
      </w:r>
    </w:p>
    <w:p>
      <w:pPr>
        <w:pStyle w:val="ListParagraph"/>
        <w:numPr>
          <w:ilvl w:val="0"/>
          <w:numId w:val="1"/>
        </w:numPr>
        <w:spacing w:after="100"/>
      </w:pPr>
      <w:r>
        <w:rPr>
          <w:sz w:val="22"/>
          <w:szCs w:val="22"/>
        </w:rPr>
        <w:t xml:space="preserve">AppSec team Confluence space — for internal security guidelines and policies</w:t>
      </w:r>
    </w:p>
    <w:p>
      <w:pPr>
        <w:pStyle w:val="ListParagraph"/>
        <w:numPr>
          <w:ilvl w:val="0"/>
          <w:numId w:val="1"/>
        </w:numPr>
        <w:spacing w:after="100"/>
      </w:pPr>
      <w:r>
        <w:rPr>
          <w:sz w:val="22"/>
          <w:szCs w:val="22"/>
        </w:rPr>
        <w:t xml:space="preserve">Raise a query or exception request via the AppSec team on Microsoft Teams</w:t>
      </w:r>
    </w:p>
    <w:p>
      <w:pPr>
        <w:spacing w:after="120"/>
      </w:pPr>
    </w:p>
    <w:tbl>
      <w:tblPr>
        <w:tblW w:type="dxa" w:w="9360"/>
        <w:tblBorders>
          <w:top w:val="single" w:color="2E5F8A" w:sz="4"/>
          <w:left w:val="single" w:color="2E5F8A" w:sz="4"/>
          <w:bottom w:val="single" w:color="2E5F8A" w:sz="4"/>
          <w:right w:val="single" w:color="2E5F8A" w:sz="4"/>
          <w:insideH w:val="single" w:color="auto" w:sz="4"/>
          <w:insideV w:val="single" w:color="auto" w:sz="4"/>
        </w:tblBorders>
      </w:tblPr>
      <w:tblGrid>
        <w:gridCol w:w="100"/>
      </w:tblGrid>
      <w:tr>
        <w:tc>
          <w:tcPr>
            <w:tcW w:type="dxa" w:w="9360"/>
            <w:shd w:fill="D6E4F0" w:color="auto" w:val="clear"/>
            <w:tcMar>
              <w:top w:type="dxa" w:w="100"/>
              <w:left w:type="dxa" w:w="150"/>
              <w:bottom w:type="dxa" w:w="100"/>
              <w:right w:type="dxa" w:w="150"/>
            </w:tcMar>
          </w:tcPr>
          <w:p>
            <w:pPr>
              <w:spacing w:after="60"/>
            </w:pPr>
            <w:r>
              <w:rPr>
                <w:b/>
                <w:bCs/>
                <w:sz w:val="20"/>
                <w:szCs w:val="20"/>
              </w:rPr>
              <w:t xml:space="preserve">ⓘ  Note</w:t>
            </w:r>
          </w:p>
          <w:p>
            <w:r>
              <w:rPr>
                <w:sz w:val="20"/>
                <w:szCs w:val="20"/>
              </w:rPr>
              <w:t xml:space="preserve">For questions about specific findings, policy exceptions, or false positives, contact the AppSec team directly.</w:t>
            </w:r>
          </w:p>
        </w:tc>
      </w:tr>
    </w:tbl>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864"/>
      <w:sz w:val="40"/>
      <w:szCs w:val="40"/>
    </w:rPr>
  </w:style>
  <w:style w:type="paragraph" w:styleId="Heading2">
    <w:name w:val="Heading 2"/>
    <w:basedOn w:val="Normal"/>
    <w:next w:val="Normal"/>
    <w:pPr>
      <w:spacing w:after="160" w:before="320"/>
    </w:pPr>
    <w:rPr>
      <w:b/>
      <w:bCs/>
      <w:color w:val="2E5F8A"/>
      <w:sz w:val="30"/>
      <w:szCs w:val="30"/>
    </w:rPr>
  </w:style>
  <w:style w:type="paragraph" w:styleId="Heading3">
    <w:name w:val="Heading 3"/>
    <w:basedOn w:val="Normal"/>
    <w:next w:val="Normal"/>
    <w:pPr>
      <w:spacing w:after="120" w:before="240"/>
    </w:pPr>
    <w:rPr>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2026-07-12T22:25:36.086Z</dcterms:created>
  <dcterms:modified xsi:type="dcterms:W3CDTF">2026-07-12T22:25:36.086Z</dcterms:modified>
</cp:coreProperties>
</file>

<file path=docProps/custom.xml><?xml version="1.0" encoding="utf-8"?>
<Properties xmlns="http://schemas.openxmlformats.org/officeDocument/2006/custom-properties" xmlns:vt="http://schemas.openxmlformats.org/officeDocument/2006/docPropsVTypes"/>
</file>