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628C3" w14:textId="4D652C07" w:rsidR="005969BB" w:rsidRPr="008D2B83" w:rsidRDefault="00C62EFB" w:rsidP="00C62EFB">
      <w:pPr>
        <w:jc w:val="center"/>
        <w:rPr>
          <w:b/>
          <w:bCs/>
          <w:color w:val="1F4E79" w:themeColor="accent5" w:themeShade="80"/>
          <w:sz w:val="32"/>
          <w:szCs w:val="32"/>
          <w:u w:val="single"/>
        </w:rPr>
      </w:pPr>
      <w:r w:rsidRPr="008D2B83">
        <w:rPr>
          <w:b/>
          <w:bCs/>
          <w:color w:val="1F4E79" w:themeColor="accent5" w:themeShade="80"/>
          <w:sz w:val="32"/>
          <w:szCs w:val="32"/>
          <w:u w:val="single"/>
        </w:rPr>
        <w:t>Investment Banking Operations</w:t>
      </w:r>
    </w:p>
    <w:p w14:paraId="2760C7DD" w14:textId="77777777" w:rsidR="00C62EFB" w:rsidRDefault="00C62EFB" w:rsidP="00C62EFB">
      <w:pPr>
        <w:rPr>
          <w:color w:val="000000" w:themeColor="text1"/>
          <w:sz w:val="24"/>
          <w:szCs w:val="24"/>
        </w:rPr>
      </w:pPr>
      <w:r w:rsidRPr="00C62EFB">
        <w:rPr>
          <w:color w:val="000000" w:themeColor="text1"/>
          <w:sz w:val="24"/>
          <w:szCs w:val="24"/>
        </w:rPr>
        <w:t>An investment bank is like a middleman between investor and issuer and helps clients raise money through debt and equity offerings.</w:t>
      </w:r>
    </w:p>
    <w:p w14:paraId="0F422215" w14:textId="1E9C96A8" w:rsidR="004B6D01" w:rsidRDefault="004B6D01" w:rsidP="00C62EFB">
      <w:pPr>
        <w:rPr>
          <w:color w:val="000000" w:themeColor="text1"/>
          <w:sz w:val="24"/>
          <w:szCs w:val="24"/>
        </w:rPr>
      </w:pPr>
      <w:r w:rsidRPr="004B6D01">
        <w:rPr>
          <w:color w:val="000000" w:themeColor="text1"/>
          <w:sz w:val="24"/>
          <w:szCs w:val="24"/>
        </w:rPr>
        <w:t>Global investment banks include JPMorgan Chase, Goldman Sachs, Morgan Stanley, Citigroup, Bank of America, Credit Suisse, and Deutsche Bank.</w:t>
      </w:r>
    </w:p>
    <w:tbl>
      <w:tblPr>
        <w:tblStyle w:val="TableGrid"/>
        <w:tblW w:w="9476" w:type="dxa"/>
        <w:tblLook w:val="04A0" w:firstRow="1" w:lastRow="0" w:firstColumn="1" w:lastColumn="0" w:noHBand="0" w:noVBand="1"/>
      </w:tblPr>
      <w:tblGrid>
        <w:gridCol w:w="3158"/>
        <w:gridCol w:w="3158"/>
        <w:gridCol w:w="3160"/>
      </w:tblGrid>
      <w:tr w:rsidR="004B6D01" w14:paraId="5959258E" w14:textId="77777777" w:rsidTr="008D2B83">
        <w:trPr>
          <w:trHeight w:val="355"/>
        </w:trPr>
        <w:tc>
          <w:tcPr>
            <w:tcW w:w="3158" w:type="dxa"/>
          </w:tcPr>
          <w:p w14:paraId="52A39F5D" w14:textId="330F350B" w:rsidR="004B6D01" w:rsidRPr="008D2B83" w:rsidRDefault="004B6D01" w:rsidP="00C62EFB">
            <w:pPr>
              <w:rPr>
                <w:b/>
                <w:bCs/>
                <w:color w:val="000000" w:themeColor="text1"/>
                <w:sz w:val="24"/>
                <w:szCs w:val="24"/>
              </w:rPr>
            </w:pPr>
            <w:r w:rsidRPr="008D2B83">
              <w:rPr>
                <w:b/>
                <w:bCs/>
                <w:color w:val="000000" w:themeColor="text1"/>
                <w:sz w:val="24"/>
                <w:szCs w:val="24"/>
              </w:rPr>
              <w:t>Bank</w:t>
            </w:r>
          </w:p>
        </w:tc>
        <w:tc>
          <w:tcPr>
            <w:tcW w:w="3158" w:type="dxa"/>
          </w:tcPr>
          <w:p w14:paraId="6A25A1D4" w14:textId="34CBED1E" w:rsidR="004B6D01" w:rsidRPr="008D2B83" w:rsidRDefault="004B6D01" w:rsidP="00C62EFB">
            <w:pPr>
              <w:rPr>
                <w:b/>
                <w:bCs/>
                <w:color w:val="000000" w:themeColor="text1"/>
                <w:sz w:val="24"/>
                <w:szCs w:val="24"/>
              </w:rPr>
            </w:pPr>
            <w:r w:rsidRPr="008D2B83">
              <w:rPr>
                <w:b/>
                <w:bCs/>
                <w:color w:val="000000" w:themeColor="text1"/>
                <w:sz w:val="24"/>
                <w:szCs w:val="24"/>
              </w:rPr>
              <w:t>Number of ATMs</w:t>
            </w:r>
          </w:p>
        </w:tc>
        <w:tc>
          <w:tcPr>
            <w:tcW w:w="3160" w:type="dxa"/>
          </w:tcPr>
          <w:p w14:paraId="40BE2333" w14:textId="4D444664" w:rsidR="004B6D01" w:rsidRPr="008D2B83" w:rsidRDefault="004B6D01" w:rsidP="00C62EFB">
            <w:pPr>
              <w:rPr>
                <w:b/>
                <w:bCs/>
                <w:color w:val="000000" w:themeColor="text1"/>
                <w:sz w:val="24"/>
                <w:szCs w:val="24"/>
              </w:rPr>
            </w:pPr>
            <w:r w:rsidRPr="008D2B83">
              <w:rPr>
                <w:b/>
                <w:bCs/>
                <w:color w:val="000000" w:themeColor="text1"/>
                <w:sz w:val="24"/>
                <w:szCs w:val="24"/>
              </w:rPr>
              <w:t>Revenue (2023)</w:t>
            </w:r>
          </w:p>
        </w:tc>
      </w:tr>
      <w:tr w:rsidR="004B6D01" w14:paraId="2AD02F95" w14:textId="77777777" w:rsidTr="008D2B83">
        <w:trPr>
          <w:trHeight w:val="363"/>
        </w:trPr>
        <w:tc>
          <w:tcPr>
            <w:tcW w:w="3158" w:type="dxa"/>
          </w:tcPr>
          <w:p w14:paraId="4C02A41C" w14:textId="019C46FA" w:rsidR="004B6D01" w:rsidRDefault="004B6D01" w:rsidP="00C62EFB">
            <w:pPr>
              <w:rPr>
                <w:color w:val="000000" w:themeColor="text1"/>
                <w:sz w:val="24"/>
                <w:szCs w:val="24"/>
              </w:rPr>
            </w:pPr>
            <w:r w:rsidRPr="004B6D01">
              <w:rPr>
                <w:color w:val="000000" w:themeColor="text1"/>
                <w:sz w:val="24"/>
                <w:szCs w:val="24"/>
              </w:rPr>
              <w:t>JPMorgan Chase</w:t>
            </w:r>
          </w:p>
        </w:tc>
        <w:tc>
          <w:tcPr>
            <w:tcW w:w="3158" w:type="dxa"/>
          </w:tcPr>
          <w:p w14:paraId="1C5E92C0" w14:textId="0ED9E138" w:rsidR="004B6D01" w:rsidRDefault="004B6D01" w:rsidP="00C62EFB">
            <w:pPr>
              <w:rPr>
                <w:color w:val="000000" w:themeColor="text1"/>
                <w:sz w:val="24"/>
                <w:szCs w:val="24"/>
              </w:rPr>
            </w:pPr>
            <w:r w:rsidRPr="004B6D01">
              <w:rPr>
                <w:color w:val="000000" w:themeColor="text1"/>
                <w:sz w:val="24"/>
                <w:szCs w:val="24"/>
              </w:rPr>
              <w:t>16,000</w:t>
            </w:r>
          </w:p>
        </w:tc>
        <w:tc>
          <w:tcPr>
            <w:tcW w:w="3160" w:type="dxa"/>
          </w:tcPr>
          <w:p w14:paraId="73309BA6" w14:textId="44F52C7A" w:rsidR="004B6D01" w:rsidRDefault="004B6D01" w:rsidP="00C62EFB">
            <w:pPr>
              <w:rPr>
                <w:color w:val="000000" w:themeColor="text1"/>
                <w:sz w:val="24"/>
                <w:szCs w:val="24"/>
              </w:rPr>
            </w:pPr>
            <w:r w:rsidRPr="004B6D01">
              <w:rPr>
                <w:color w:val="000000" w:themeColor="text1"/>
                <w:sz w:val="24"/>
                <w:szCs w:val="24"/>
              </w:rPr>
              <w:t>$132.9 billion</w:t>
            </w:r>
          </w:p>
        </w:tc>
      </w:tr>
      <w:tr w:rsidR="004B6D01" w14:paraId="3F493D33" w14:textId="77777777" w:rsidTr="008D2B83">
        <w:trPr>
          <w:trHeight w:val="355"/>
        </w:trPr>
        <w:tc>
          <w:tcPr>
            <w:tcW w:w="3158" w:type="dxa"/>
          </w:tcPr>
          <w:p w14:paraId="0FBE3FC6" w14:textId="0B5CFB38" w:rsidR="004B6D01" w:rsidRDefault="004B6D01" w:rsidP="00C62EFB">
            <w:pPr>
              <w:rPr>
                <w:color w:val="000000" w:themeColor="text1"/>
                <w:sz w:val="24"/>
                <w:szCs w:val="24"/>
              </w:rPr>
            </w:pPr>
            <w:r w:rsidRPr="004B6D01">
              <w:rPr>
                <w:color w:val="000000" w:themeColor="text1"/>
                <w:sz w:val="24"/>
                <w:szCs w:val="24"/>
              </w:rPr>
              <w:t>Goldman Sachs</w:t>
            </w:r>
          </w:p>
        </w:tc>
        <w:tc>
          <w:tcPr>
            <w:tcW w:w="3158" w:type="dxa"/>
          </w:tcPr>
          <w:p w14:paraId="10A13DD7" w14:textId="0FBAD8A3" w:rsidR="004B6D01" w:rsidRDefault="004B6D01" w:rsidP="00C62EFB">
            <w:pPr>
              <w:rPr>
                <w:color w:val="000000" w:themeColor="text1"/>
                <w:sz w:val="24"/>
                <w:szCs w:val="24"/>
              </w:rPr>
            </w:pPr>
            <w:r w:rsidRPr="004B6D01">
              <w:rPr>
                <w:color w:val="000000" w:themeColor="text1"/>
                <w:sz w:val="24"/>
                <w:szCs w:val="24"/>
              </w:rPr>
              <w:t>N/A</w:t>
            </w:r>
          </w:p>
        </w:tc>
        <w:tc>
          <w:tcPr>
            <w:tcW w:w="3160" w:type="dxa"/>
          </w:tcPr>
          <w:p w14:paraId="14CE0958" w14:textId="27BEE78E" w:rsidR="004B6D01" w:rsidRDefault="004B6D01" w:rsidP="00C62EFB">
            <w:pPr>
              <w:rPr>
                <w:color w:val="000000" w:themeColor="text1"/>
                <w:sz w:val="24"/>
                <w:szCs w:val="24"/>
              </w:rPr>
            </w:pPr>
            <w:r w:rsidRPr="004B6D01">
              <w:rPr>
                <w:color w:val="000000" w:themeColor="text1"/>
                <w:sz w:val="24"/>
                <w:szCs w:val="24"/>
              </w:rPr>
              <w:t>$59.4 billion</w:t>
            </w:r>
          </w:p>
        </w:tc>
      </w:tr>
      <w:tr w:rsidR="004B6D01" w14:paraId="5DA2FAB8" w14:textId="77777777" w:rsidTr="008D2B83">
        <w:trPr>
          <w:trHeight w:val="363"/>
        </w:trPr>
        <w:tc>
          <w:tcPr>
            <w:tcW w:w="3158" w:type="dxa"/>
          </w:tcPr>
          <w:p w14:paraId="77BDAB42" w14:textId="041054C6" w:rsidR="004B6D01" w:rsidRDefault="004B6D01" w:rsidP="00C62EFB">
            <w:pPr>
              <w:rPr>
                <w:color w:val="000000" w:themeColor="text1"/>
                <w:sz w:val="24"/>
                <w:szCs w:val="24"/>
              </w:rPr>
            </w:pPr>
            <w:r w:rsidRPr="004B6D01">
              <w:rPr>
                <w:color w:val="000000" w:themeColor="text1"/>
                <w:sz w:val="24"/>
                <w:szCs w:val="24"/>
              </w:rPr>
              <w:t>Morgan Stanley</w:t>
            </w:r>
          </w:p>
        </w:tc>
        <w:tc>
          <w:tcPr>
            <w:tcW w:w="3158" w:type="dxa"/>
          </w:tcPr>
          <w:p w14:paraId="42600C18" w14:textId="0E7002B3" w:rsidR="004B6D01" w:rsidRDefault="004B6D01" w:rsidP="00C62EFB">
            <w:pPr>
              <w:rPr>
                <w:color w:val="000000" w:themeColor="text1"/>
                <w:sz w:val="24"/>
                <w:szCs w:val="24"/>
              </w:rPr>
            </w:pPr>
            <w:r w:rsidRPr="004B6D01">
              <w:rPr>
                <w:color w:val="000000" w:themeColor="text1"/>
                <w:sz w:val="24"/>
                <w:szCs w:val="24"/>
              </w:rPr>
              <w:t>N/A</w:t>
            </w:r>
            <w:r w:rsidRPr="004B6D01">
              <w:rPr>
                <w:color w:val="000000" w:themeColor="text1"/>
                <w:sz w:val="24"/>
                <w:szCs w:val="24"/>
              </w:rPr>
              <w:tab/>
            </w:r>
          </w:p>
        </w:tc>
        <w:tc>
          <w:tcPr>
            <w:tcW w:w="3160" w:type="dxa"/>
          </w:tcPr>
          <w:p w14:paraId="79BCDE24" w14:textId="46A628DF" w:rsidR="004B6D01" w:rsidRDefault="004B6D01" w:rsidP="00C62EFB">
            <w:pPr>
              <w:rPr>
                <w:color w:val="000000" w:themeColor="text1"/>
                <w:sz w:val="24"/>
                <w:szCs w:val="24"/>
              </w:rPr>
            </w:pPr>
            <w:r w:rsidRPr="004B6D01">
              <w:rPr>
                <w:color w:val="000000" w:themeColor="text1"/>
                <w:sz w:val="24"/>
                <w:szCs w:val="24"/>
              </w:rPr>
              <w:t>$60.3 billion</w:t>
            </w:r>
          </w:p>
        </w:tc>
      </w:tr>
      <w:tr w:rsidR="004B6D01" w14:paraId="46B93056" w14:textId="77777777" w:rsidTr="008D2B83">
        <w:trPr>
          <w:trHeight w:val="355"/>
        </w:trPr>
        <w:tc>
          <w:tcPr>
            <w:tcW w:w="3158" w:type="dxa"/>
          </w:tcPr>
          <w:p w14:paraId="5079578F" w14:textId="38BA84D9" w:rsidR="004B6D01" w:rsidRDefault="00CC7659" w:rsidP="00C62EFB">
            <w:pPr>
              <w:rPr>
                <w:color w:val="000000" w:themeColor="text1"/>
                <w:sz w:val="24"/>
                <w:szCs w:val="24"/>
              </w:rPr>
            </w:pPr>
            <w:r w:rsidRPr="004B6D01">
              <w:rPr>
                <w:color w:val="000000" w:themeColor="text1"/>
                <w:sz w:val="24"/>
                <w:szCs w:val="24"/>
              </w:rPr>
              <w:t>Credit Suisse</w:t>
            </w:r>
          </w:p>
        </w:tc>
        <w:tc>
          <w:tcPr>
            <w:tcW w:w="3158" w:type="dxa"/>
          </w:tcPr>
          <w:p w14:paraId="5A20E64F" w14:textId="21BC17D7" w:rsidR="004B6D01" w:rsidRDefault="00CC7659" w:rsidP="00C62EFB">
            <w:pPr>
              <w:rPr>
                <w:color w:val="000000" w:themeColor="text1"/>
                <w:sz w:val="24"/>
                <w:szCs w:val="24"/>
              </w:rPr>
            </w:pPr>
            <w:r w:rsidRPr="004B6D01">
              <w:rPr>
                <w:color w:val="000000" w:themeColor="text1"/>
                <w:sz w:val="24"/>
                <w:szCs w:val="24"/>
              </w:rPr>
              <w:t>1,100</w:t>
            </w:r>
            <w:r w:rsidRPr="004B6D01">
              <w:rPr>
                <w:color w:val="000000" w:themeColor="text1"/>
                <w:sz w:val="24"/>
                <w:szCs w:val="24"/>
              </w:rPr>
              <w:tab/>
            </w:r>
          </w:p>
        </w:tc>
        <w:tc>
          <w:tcPr>
            <w:tcW w:w="3160" w:type="dxa"/>
          </w:tcPr>
          <w:p w14:paraId="3B304AFA" w14:textId="34ED93F1" w:rsidR="004B6D01" w:rsidRDefault="00CC7659" w:rsidP="00CC7659">
            <w:pPr>
              <w:rPr>
                <w:color w:val="000000" w:themeColor="text1"/>
                <w:sz w:val="24"/>
                <w:szCs w:val="24"/>
              </w:rPr>
            </w:pPr>
            <w:r w:rsidRPr="004B6D01">
              <w:rPr>
                <w:color w:val="000000" w:themeColor="text1"/>
                <w:sz w:val="24"/>
                <w:szCs w:val="24"/>
              </w:rPr>
              <w:t>$22.6 billion</w:t>
            </w:r>
          </w:p>
        </w:tc>
      </w:tr>
      <w:tr w:rsidR="004B6D01" w14:paraId="150E953C" w14:textId="77777777" w:rsidTr="008D2B83">
        <w:trPr>
          <w:trHeight w:val="355"/>
        </w:trPr>
        <w:tc>
          <w:tcPr>
            <w:tcW w:w="3158" w:type="dxa"/>
          </w:tcPr>
          <w:p w14:paraId="49803313" w14:textId="75BD688F" w:rsidR="004B6D01" w:rsidRDefault="00CC7659" w:rsidP="00C62EFB">
            <w:pPr>
              <w:rPr>
                <w:color w:val="000000" w:themeColor="text1"/>
                <w:sz w:val="24"/>
                <w:szCs w:val="24"/>
              </w:rPr>
            </w:pPr>
            <w:r w:rsidRPr="004B6D01">
              <w:rPr>
                <w:color w:val="000000" w:themeColor="text1"/>
                <w:sz w:val="24"/>
                <w:szCs w:val="24"/>
              </w:rPr>
              <w:t>Bank of America</w:t>
            </w:r>
          </w:p>
        </w:tc>
        <w:tc>
          <w:tcPr>
            <w:tcW w:w="3158" w:type="dxa"/>
          </w:tcPr>
          <w:p w14:paraId="563445F4" w14:textId="467840A2" w:rsidR="004B6D01" w:rsidRDefault="00CC7659" w:rsidP="00C62EFB">
            <w:pPr>
              <w:rPr>
                <w:color w:val="000000" w:themeColor="text1"/>
                <w:sz w:val="24"/>
                <w:szCs w:val="24"/>
              </w:rPr>
            </w:pPr>
            <w:r w:rsidRPr="004B6D01">
              <w:rPr>
                <w:color w:val="000000" w:themeColor="text1"/>
                <w:sz w:val="24"/>
                <w:szCs w:val="24"/>
              </w:rPr>
              <w:t>16,000</w:t>
            </w:r>
          </w:p>
        </w:tc>
        <w:tc>
          <w:tcPr>
            <w:tcW w:w="3160" w:type="dxa"/>
          </w:tcPr>
          <w:p w14:paraId="2E6C8A9E" w14:textId="2DAA4559" w:rsidR="004B6D01" w:rsidRDefault="00CC7659" w:rsidP="00C62EFB">
            <w:pPr>
              <w:rPr>
                <w:color w:val="000000" w:themeColor="text1"/>
                <w:sz w:val="24"/>
                <w:szCs w:val="24"/>
              </w:rPr>
            </w:pPr>
            <w:r w:rsidRPr="004B6D01">
              <w:rPr>
                <w:color w:val="000000" w:themeColor="text1"/>
                <w:sz w:val="24"/>
                <w:szCs w:val="24"/>
              </w:rPr>
              <w:t>$101.9 billion</w:t>
            </w:r>
          </w:p>
        </w:tc>
      </w:tr>
      <w:tr w:rsidR="004B6D01" w14:paraId="4BC924B8" w14:textId="77777777" w:rsidTr="008D2B83">
        <w:trPr>
          <w:trHeight w:val="363"/>
        </w:trPr>
        <w:tc>
          <w:tcPr>
            <w:tcW w:w="3158" w:type="dxa"/>
          </w:tcPr>
          <w:p w14:paraId="6B7FDD5C" w14:textId="29AE078C" w:rsidR="004B6D01" w:rsidRDefault="00CC7659" w:rsidP="00C62EFB">
            <w:pPr>
              <w:rPr>
                <w:color w:val="000000" w:themeColor="text1"/>
                <w:sz w:val="24"/>
                <w:szCs w:val="24"/>
              </w:rPr>
            </w:pPr>
            <w:r w:rsidRPr="004B6D01">
              <w:rPr>
                <w:color w:val="000000" w:themeColor="text1"/>
                <w:sz w:val="24"/>
                <w:szCs w:val="24"/>
              </w:rPr>
              <w:t>Citigroup</w:t>
            </w:r>
          </w:p>
        </w:tc>
        <w:tc>
          <w:tcPr>
            <w:tcW w:w="3158" w:type="dxa"/>
          </w:tcPr>
          <w:p w14:paraId="235C05F7" w14:textId="74DFE375" w:rsidR="004B6D01" w:rsidRDefault="00CC7659" w:rsidP="00C62EFB">
            <w:pPr>
              <w:rPr>
                <w:color w:val="000000" w:themeColor="text1"/>
                <w:sz w:val="24"/>
                <w:szCs w:val="24"/>
              </w:rPr>
            </w:pPr>
            <w:r w:rsidRPr="004B6D01">
              <w:rPr>
                <w:color w:val="000000" w:themeColor="text1"/>
                <w:sz w:val="24"/>
                <w:szCs w:val="24"/>
              </w:rPr>
              <w:t>65,000</w:t>
            </w:r>
          </w:p>
        </w:tc>
        <w:tc>
          <w:tcPr>
            <w:tcW w:w="3160" w:type="dxa"/>
          </w:tcPr>
          <w:p w14:paraId="1C5D8BCE" w14:textId="026551AC" w:rsidR="004B6D01" w:rsidRDefault="00CC7659" w:rsidP="00C62EFB">
            <w:pPr>
              <w:rPr>
                <w:color w:val="000000" w:themeColor="text1"/>
                <w:sz w:val="24"/>
                <w:szCs w:val="24"/>
              </w:rPr>
            </w:pPr>
            <w:r w:rsidRPr="004B6D01">
              <w:rPr>
                <w:color w:val="000000" w:themeColor="text1"/>
                <w:sz w:val="24"/>
                <w:szCs w:val="24"/>
              </w:rPr>
              <w:t>$71.9 billion</w:t>
            </w:r>
          </w:p>
        </w:tc>
      </w:tr>
      <w:tr w:rsidR="004B6D01" w14:paraId="6C2C8594" w14:textId="77777777" w:rsidTr="008D2B83">
        <w:trPr>
          <w:trHeight w:val="556"/>
        </w:trPr>
        <w:tc>
          <w:tcPr>
            <w:tcW w:w="3158" w:type="dxa"/>
          </w:tcPr>
          <w:p w14:paraId="7E927A3C" w14:textId="7502A5B5" w:rsidR="004B6D01" w:rsidRDefault="00CC7659" w:rsidP="00C62EFB">
            <w:pPr>
              <w:rPr>
                <w:color w:val="000000" w:themeColor="text1"/>
                <w:sz w:val="24"/>
                <w:szCs w:val="24"/>
              </w:rPr>
            </w:pPr>
            <w:r w:rsidRPr="004B6D01">
              <w:rPr>
                <w:color w:val="000000" w:themeColor="text1"/>
                <w:sz w:val="24"/>
                <w:szCs w:val="24"/>
              </w:rPr>
              <w:t>Deutsche Bank</w:t>
            </w:r>
          </w:p>
        </w:tc>
        <w:tc>
          <w:tcPr>
            <w:tcW w:w="3158" w:type="dxa"/>
          </w:tcPr>
          <w:p w14:paraId="5468565E" w14:textId="2E9DA14F" w:rsidR="004B6D01" w:rsidRDefault="00CC7659" w:rsidP="00C62EFB">
            <w:pPr>
              <w:rPr>
                <w:color w:val="000000" w:themeColor="text1"/>
                <w:sz w:val="24"/>
                <w:szCs w:val="24"/>
              </w:rPr>
            </w:pPr>
            <w:r w:rsidRPr="004B6D01">
              <w:rPr>
                <w:color w:val="000000" w:themeColor="text1"/>
                <w:sz w:val="24"/>
                <w:szCs w:val="24"/>
              </w:rPr>
              <w:t>2,400</w:t>
            </w:r>
            <w:r w:rsidRPr="004B6D01">
              <w:rPr>
                <w:color w:val="000000" w:themeColor="text1"/>
                <w:sz w:val="24"/>
                <w:szCs w:val="24"/>
              </w:rPr>
              <w:tab/>
            </w:r>
          </w:p>
        </w:tc>
        <w:tc>
          <w:tcPr>
            <w:tcW w:w="3160" w:type="dxa"/>
          </w:tcPr>
          <w:p w14:paraId="41C636AE" w14:textId="5E30B9CD" w:rsidR="004B6D01" w:rsidRDefault="00CC7659" w:rsidP="00C62EFB">
            <w:pPr>
              <w:rPr>
                <w:color w:val="000000" w:themeColor="text1"/>
                <w:sz w:val="24"/>
                <w:szCs w:val="24"/>
              </w:rPr>
            </w:pPr>
            <w:r w:rsidRPr="004B6D01">
              <w:rPr>
                <w:color w:val="000000" w:themeColor="text1"/>
                <w:sz w:val="24"/>
                <w:szCs w:val="24"/>
              </w:rPr>
              <w:t>$28.2 billion</w:t>
            </w:r>
          </w:p>
        </w:tc>
      </w:tr>
    </w:tbl>
    <w:p w14:paraId="2FBB5079" w14:textId="77777777" w:rsidR="008D2B83" w:rsidRDefault="008D2B83" w:rsidP="00C62EFB">
      <w:pPr>
        <w:rPr>
          <w:b/>
          <w:bCs/>
          <w:color w:val="000000" w:themeColor="text1"/>
          <w:sz w:val="24"/>
          <w:szCs w:val="24"/>
        </w:rPr>
      </w:pPr>
    </w:p>
    <w:p w14:paraId="1FC78A7D" w14:textId="2532FA5C" w:rsidR="00C62EFB" w:rsidRPr="008D2B83" w:rsidRDefault="00C62EFB" w:rsidP="00C62EFB">
      <w:pPr>
        <w:rPr>
          <w:b/>
          <w:bCs/>
          <w:color w:val="000000" w:themeColor="text1"/>
          <w:sz w:val="24"/>
          <w:szCs w:val="24"/>
        </w:rPr>
      </w:pPr>
      <w:r w:rsidRPr="008D2B83">
        <w:rPr>
          <w:b/>
          <w:bCs/>
          <w:color w:val="000000" w:themeColor="text1"/>
          <w:sz w:val="24"/>
          <w:szCs w:val="24"/>
        </w:rPr>
        <w:t>IPOs (Initial Public Offerings)</w:t>
      </w:r>
    </w:p>
    <w:p w14:paraId="451890D0" w14:textId="77777777" w:rsidR="00C62EFB" w:rsidRPr="00C62EFB" w:rsidRDefault="00C62EFB" w:rsidP="00C62EFB">
      <w:pPr>
        <w:rPr>
          <w:color w:val="000000" w:themeColor="text1"/>
          <w:sz w:val="24"/>
          <w:szCs w:val="24"/>
        </w:rPr>
      </w:pPr>
      <w:r w:rsidRPr="00C62EFB">
        <w:rPr>
          <w:color w:val="000000" w:themeColor="text1"/>
          <w:sz w:val="24"/>
          <w:szCs w:val="24"/>
        </w:rPr>
        <w:t>Companies hire investment banks to issue IPOs and raise capital.</w:t>
      </w:r>
    </w:p>
    <w:p w14:paraId="5A784644" w14:textId="0A371A40" w:rsidR="00C62EFB" w:rsidRPr="00C62EFB" w:rsidRDefault="00C62EFB" w:rsidP="00C62EFB">
      <w:pPr>
        <w:rPr>
          <w:color w:val="000000" w:themeColor="text1"/>
          <w:sz w:val="24"/>
          <w:szCs w:val="24"/>
        </w:rPr>
      </w:pPr>
      <w:r w:rsidRPr="00C62EFB">
        <w:rPr>
          <w:color w:val="000000" w:themeColor="text1"/>
          <w:sz w:val="24"/>
          <w:szCs w:val="24"/>
        </w:rPr>
        <w:t>Investment banks assist in underwriting, setting offer prices, and creating a market for the stock.</w:t>
      </w:r>
    </w:p>
    <w:p w14:paraId="532C7C36" w14:textId="77777777" w:rsidR="00C62EFB" w:rsidRPr="008D2B83" w:rsidRDefault="00C62EFB" w:rsidP="00C62EFB">
      <w:pPr>
        <w:rPr>
          <w:b/>
          <w:bCs/>
          <w:color w:val="000000" w:themeColor="text1"/>
          <w:sz w:val="24"/>
          <w:szCs w:val="24"/>
        </w:rPr>
      </w:pPr>
      <w:r w:rsidRPr="008D2B83">
        <w:rPr>
          <w:b/>
          <w:bCs/>
          <w:color w:val="000000" w:themeColor="text1"/>
          <w:sz w:val="24"/>
          <w:szCs w:val="24"/>
        </w:rPr>
        <w:t>Mergers and Acquisitions (M&amp;A)</w:t>
      </w:r>
    </w:p>
    <w:p w14:paraId="6CA617D4" w14:textId="77777777" w:rsidR="00C62EFB" w:rsidRPr="00C62EFB" w:rsidRDefault="00C62EFB" w:rsidP="00C62EFB">
      <w:pPr>
        <w:rPr>
          <w:color w:val="000000" w:themeColor="text1"/>
          <w:sz w:val="24"/>
          <w:szCs w:val="24"/>
        </w:rPr>
      </w:pPr>
      <w:r w:rsidRPr="00C62EFB">
        <w:rPr>
          <w:color w:val="000000" w:themeColor="text1"/>
          <w:sz w:val="24"/>
          <w:szCs w:val="24"/>
        </w:rPr>
        <w:t>Investment banks facilitate M&amp;A deals between companies.</w:t>
      </w:r>
    </w:p>
    <w:p w14:paraId="3AED15A7" w14:textId="77777777" w:rsidR="00C62EFB" w:rsidRPr="00C62EFB" w:rsidRDefault="00C62EFB" w:rsidP="00C62EFB">
      <w:pPr>
        <w:rPr>
          <w:color w:val="000000" w:themeColor="text1"/>
          <w:sz w:val="24"/>
          <w:szCs w:val="24"/>
        </w:rPr>
      </w:pPr>
      <w:r w:rsidRPr="00C62EFB">
        <w:rPr>
          <w:color w:val="000000" w:themeColor="text1"/>
          <w:sz w:val="24"/>
          <w:szCs w:val="24"/>
        </w:rPr>
        <w:t>They play critical roles in valuing companies, strategising the merger process, and raising funds for M&amp;A transactions.</w:t>
      </w:r>
    </w:p>
    <w:p w14:paraId="34648867" w14:textId="77777777" w:rsidR="00C62EFB" w:rsidRPr="008D2B83" w:rsidRDefault="00C62EFB" w:rsidP="00C62EFB">
      <w:pPr>
        <w:rPr>
          <w:b/>
          <w:bCs/>
          <w:color w:val="000000" w:themeColor="text1"/>
          <w:sz w:val="24"/>
          <w:szCs w:val="24"/>
        </w:rPr>
      </w:pPr>
      <w:r w:rsidRPr="008D2B83">
        <w:rPr>
          <w:b/>
          <w:bCs/>
          <w:color w:val="000000" w:themeColor="text1"/>
          <w:sz w:val="24"/>
          <w:szCs w:val="24"/>
        </w:rPr>
        <w:t>Risk Management</w:t>
      </w:r>
    </w:p>
    <w:p w14:paraId="0FD19E01" w14:textId="77777777" w:rsidR="00C62EFB" w:rsidRPr="00C62EFB" w:rsidRDefault="00C62EFB" w:rsidP="00C62EFB">
      <w:pPr>
        <w:rPr>
          <w:color w:val="000000" w:themeColor="text1"/>
          <w:sz w:val="24"/>
          <w:szCs w:val="24"/>
        </w:rPr>
      </w:pPr>
      <w:r w:rsidRPr="00C62EFB">
        <w:rPr>
          <w:color w:val="000000" w:themeColor="text1"/>
          <w:sz w:val="24"/>
          <w:szCs w:val="24"/>
        </w:rPr>
        <w:t>Investment banks help manage financial risks like currency, loans, and liquidity.</w:t>
      </w:r>
    </w:p>
    <w:p w14:paraId="4A95320D" w14:textId="77A743E2" w:rsidR="00C62EFB" w:rsidRDefault="00C62EFB" w:rsidP="00C62EFB">
      <w:pPr>
        <w:rPr>
          <w:color w:val="000000" w:themeColor="text1"/>
          <w:sz w:val="24"/>
          <w:szCs w:val="24"/>
        </w:rPr>
      </w:pPr>
      <w:r w:rsidRPr="00C62EFB">
        <w:rPr>
          <w:color w:val="000000" w:themeColor="text1"/>
          <w:sz w:val="24"/>
          <w:szCs w:val="24"/>
        </w:rPr>
        <w:t>They identify loss areas and control credit risks for effective risk management.</w:t>
      </w:r>
    </w:p>
    <w:p w14:paraId="772A3CE3" w14:textId="77777777" w:rsidR="00C62EFB" w:rsidRPr="008D2B83" w:rsidRDefault="00C62EFB" w:rsidP="00C62EFB">
      <w:pPr>
        <w:rPr>
          <w:b/>
          <w:bCs/>
          <w:color w:val="000000" w:themeColor="text1"/>
          <w:sz w:val="24"/>
          <w:szCs w:val="24"/>
        </w:rPr>
      </w:pPr>
      <w:r w:rsidRPr="008D2B83">
        <w:rPr>
          <w:b/>
          <w:bCs/>
          <w:color w:val="000000" w:themeColor="text1"/>
          <w:sz w:val="24"/>
          <w:szCs w:val="24"/>
        </w:rPr>
        <w:t>Research</w:t>
      </w:r>
    </w:p>
    <w:p w14:paraId="2A6ECBB9" w14:textId="77777777" w:rsidR="00C62EFB" w:rsidRPr="00C62EFB" w:rsidRDefault="00C62EFB" w:rsidP="00C62EFB">
      <w:pPr>
        <w:rPr>
          <w:color w:val="000000" w:themeColor="text1"/>
          <w:sz w:val="24"/>
          <w:szCs w:val="24"/>
        </w:rPr>
      </w:pPr>
      <w:r w:rsidRPr="00C62EFB">
        <w:rPr>
          <w:color w:val="000000" w:themeColor="text1"/>
          <w:sz w:val="24"/>
          <w:szCs w:val="24"/>
        </w:rPr>
        <w:t>Equity research is vital for providing company ratings to aid investor decision-making.</w:t>
      </w:r>
    </w:p>
    <w:p w14:paraId="598ABDC7" w14:textId="778A4A66" w:rsidR="00C62EFB" w:rsidRDefault="00C62EFB" w:rsidP="00C62EFB">
      <w:pPr>
        <w:rPr>
          <w:color w:val="000000" w:themeColor="text1"/>
          <w:sz w:val="24"/>
          <w:szCs w:val="24"/>
        </w:rPr>
      </w:pPr>
      <w:r w:rsidRPr="00C62EFB">
        <w:rPr>
          <w:color w:val="000000" w:themeColor="text1"/>
          <w:sz w:val="24"/>
          <w:szCs w:val="24"/>
        </w:rPr>
        <w:t>Investment banks offer research reports on companies' performance and market trends.</w:t>
      </w:r>
    </w:p>
    <w:p w14:paraId="52E7A372" w14:textId="77777777" w:rsidR="00C62EFB" w:rsidRDefault="00C62EFB" w:rsidP="00C62EFB">
      <w:pPr>
        <w:rPr>
          <w:color w:val="000000" w:themeColor="text1"/>
          <w:sz w:val="24"/>
          <w:szCs w:val="24"/>
        </w:rPr>
      </w:pPr>
    </w:p>
    <w:p w14:paraId="22AE4EDC" w14:textId="166AEE98" w:rsidR="00C62EFB" w:rsidRDefault="00C62EFB" w:rsidP="00C62EFB">
      <w:pPr>
        <w:rPr>
          <w:color w:val="000000" w:themeColor="text1"/>
          <w:sz w:val="24"/>
          <w:szCs w:val="24"/>
        </w:rPr>
      </w:pPr>
      <w:r w:rsidRPr="00C62EFB">
        <w:rPr>
          <w:color w:val="000000" w:themeColor="text1"/>
          <w:sz w:val="24"/>
          <w:szCs w:val="24"/>
        </w:rPr>
        <w:t>Key players in investment banking include investment banks, corporate clients, institutional investors, retail investors, regulatory authorities, private equity firms, hedge funds, venture capital firms, law firms, and rating agencies. They collaborate to facilitate financial transactions and provide strategic advisory services in the industry.</w:t>
      </w:r>
    </w:p>
    <w:p w14:paraId="5D39C024" w14:textId="77777777" w:rsidR="00D479DA" w:rsidRDefault="00D479DA" w:rsidP="00C62EFB">
      <w:pPr>
        <w:rPr>
          <w:color w:val="000000" w:themeColor="text1"/>
          <w:sz w:val="24"/>
          <w:szCs w:val="24"/>
        </w:rPr>
      </w:pPr>
    </w:p>
    <w:p w14:paraId="3FD398BA" w14:textId="4FEA3D94" w:rsidR="00D479DA" w:rsidRPr="008D2B83" w:rsidRDefault="00D479DA" w:rsidP="008D2B83">
      <w:pPr>
        <w:jc w:val="center"/>
        <w:rPr>
          <w:b/>
          <w:bCs/>
          <w:color w:val="1F4E79" w:themeColor="accent5" w:themeShade="80"/>
          <w:sz w:val="32"/>
          <w:szCs w:val="32"/>
          <w:u w:val="single"/>
        </w:rPr>
      </w:pPr>
      <w:r w:rsidRPr="008D2B83">
        <w:rPr>
          <w:b/>
          <w:bCs/>
          <w:color w:val="1F4E79" w:themeColor="accent5" w:themeShade="80"/>
          <w:sz w:val="32"/>
          <w:szCs w:val="32"/>
          <w:u w:val="single"/>
        </w:rPr>
        <w:t>Commercial Banking Operation</w:t>
      </w:r>
    </w:p>
    <w:p w14:paraId="2CC8E012" w14:textId="39F92BF2" w:rsidR="00E52DAC" w:rsidRDefault="00E52DAC" w:rsidP="00C62EFB">
      <w:pPr>
        <w:rPr>
          <w:color w:val="000000" w:themeColor="text1"/>
          <w:sz w:val="24"/>
          <w:szCs w:val="24"/>
        </w:rPr>
      </w:pPr>
      <w:r>
        <w:rPr>
          <w:color w:val="000000" w:themeColor="text1"/>
          <w:sz w:val="24"/>
          <w:szCs w:val="24"/>
        </w:rPr>
        <w:t>C</w:t>
      </w:r>
      <w:r w:rsidRPr="00E52DAC">
        <w:rPr>
          <w:color w:val="000000" w:themeColor="text1"/>
          <w:sz w:val="24"/>
          <w:szCs w:val="24"/>
        </w:rPr>
        <w:t>ommercial banking is a type of banking that serves government agencies, businesses, and institutions like colleges and universities. These banks provide a variety of services to these institutions, including checking and savings accounts, lines of credit, and payment processing.</w:t>
      </w:r>
    </w:p>
    <w:tbl>
      <w:tblPr>
        <w:tblStyle w:val="TableGrid"/>
        <w:tblW w:w="9207" w:type="dxa"/>
        <w:tblLook w:val="04A0" w:firstRow="1" w:lastRow="0" w:firstColumn="1" w:lastColumn="0" w:noHBand="0" w:noVBand="1"/>
      </w:tblPr>
      <w:tblGrid>
        <w:gridCol w:w="1838"/>
        <w:gridCol w:w="1838"/>
        <w:gridCol w:w="1855"/>
        <w:gridCol w:w="1837"/>
        <w:gridCol w:w="1839"/>
      </w:tblGrid>
      <w:tr w:rsidR="00D479DA" w14:paraId="42DACB74" w14:textId="77777777" w:rsidTr="00D479DA">
        <w:trPr>
          <w:trHeight w:val="621"/>
        </w:trPr>
        <w:tc>
          <w:tcPr>
            <w:tcW w:w="1838" w:type="dxa"/>
          </w:tcPr>
          <w:p w14:paraId="08AD77B4" w14:textId="082F80D0" w:rsidR="00D479DA" w:rsidRPr="008D2B83" w:rsidRDefault="00D479DA" w:rsidP="00C62EFB">
            <w:pPr>
              <w:rPr>
                <w:b/>
                <w:bCs/>
                <w:color w:val="000000" w:themeColor="text1"/>
                <w:sz w:val="24"/>
                <w:szCs w:val="24"/>
              </w:rPr>
            </w:pPr>
            <w:r w:rsidRPr="008D2B83">
              <w:rPr>
                <w:b/>
                <w:bCs/>
                <w:color w:val="000000" w:themeColor="text1"/>
                <w:sz w:val="24"/>
                <w:szCs w:val="24"/>
              </w:rPr>
              <w:t>RANKING</w:t>
            </w:r>
          </w:p>
        </w:tc>
        <w:tc>
          <w:tcPr>
            <w:tcW w:w="1838" w:type="dxa"/>
          </w:tcPr>
          <w:p w14:paraId="01D5D776" w14:textId="037E94A5" w:rsidR="00D479DA" w:rsidRPr="008D2B83" w:rsidRDefault="00D479DA" w:rsidP="00C62EFB">
            <w:pPr>
              <w:rPr>
                <w:b/>
                <w:bCs/>
                <w:color w:val="000000" w:themeColor="text1"/>
                <w:sz w:val="24"/>
                <w:szCs w:val="24"/>
              </w:rPr>
            </w:pPr>
            <w:r w:rsidRPr="008D2B83">
              <w:rPr>
                <w:b/>
                <w:bCs/>
                <w:color w:val="000000" w:themeColor="text1"/>
                <w:sz w:val="24"/>
                <w:szCs w:val="24"/>
              </w:rPr>
              <w:t>BANK</w:t>
            </w:r>
          </w:p>
        </w:tc>
        <w:tc>
          <w:tcPr>
            <w:tcW w:w="1855" w:type="dxa"/>
          </w:tcPr>
          <w:p w14:paraId="03B77DA6" w14:textId="6CBC3844" w:rsidR="00D479DA" w:rsidRPr="008D2B83" w:rsidRDefault="00D479DA" w:rsidP="00C62EFB">
            <w:pPr>
              <w:rPr>
                <w:b/>
                <w:bCs/>
                <w:color w:val="000000" w:themeColor="text1"/>
                <w:sz w:val="24"/>
                <w:szCs w:val="24"/>
              </w:rPr>
            </w:pPr>
            <w:r w:rsidRPr="008D2B83">
              <w:rPr>
                <w:b/>
                <w:bCs/>
                <w:color w:val="000000" w:themeColor="text1"/>
                <w:sz w:val="24"/>
                <w:szCs w:val="24"/>
              </w:rPr>
              <w:t>HEADQUARTERS</w:t>
            </w:r>
          </w:p>
        </w:tc>
        <w:tc>
          <w:tcPr>
            <w:tcW w:w="1837" w:type="dxa"/>
          </w:tcPr>
          <w:p w14:paraId="315BEA20" w14:textId="156B02D8" w:rsidR="00D479DA" w:rsidRPr="008D2B83" w:rsidRDefault="00D479DA" w:rsidP="00C62EFB">
            <w:pPr>
              <w:rPr>
                <w:b/>
                <w:bCs/>
                <w:color w:val="000000" w:themeColor="text1"/>
                <w:sz w:val="24"/>
                <w:szCs w:val="24"/>
              </w:rPr>
            </w:pPr>
            <w:r w:rsidRPr="008D2B83">
              <w:rPr>
                <w:b/>
                <w:bCs/>
                <w:color w:val="000000" w:themeColor="text1"/>
                <w:sz w:val="24"/>
                <w:szCs w:val="24"/>
              </w:rPr>
              <w:t>TOTAL ASSETS</w:t>
            </w:r>
          </w:p>
        </w:tc>
        <w:tc>
          <w:tcPr>
            <w:tcW w:w="1839" w:type="dxa"/>
          </w:tcPr>
          <w:p w14:paraId="2E31AD86" w14:textId="332A8844" w:rsidR="00D479DA" w:rsidRPr="008D2B83" w:rsidRDefault="00D479DA" w:rsidP="00C62EFB">
            <w:pPr>
              <w:rPr>
                <w:b/>
                <w:bCs/>
                <w:color w:val="000000" w:themeColor="text1"/>
                <w:sz w:val="24"/>
                <w:szCs w:val="24"/>
              </w:rPr>
            </w:pPr>
            <w:r w:rsidRPr="008D2B83">
              <w:rPr>
                <w:b/>
                <w:bCs/>
                <w:color w:val="000000" w:themeColor="text1"/>
                <w:sz w:val="24"/>
                <w:szCs w:val="24"/>
              </w:rPr>
              <w:t>TOTAL</w:t>
            </w:r>
            <w:r w:rsidRPr="008D2B83">
              <w:rPr>
                <w:b/>
                <w:bCs/>
                <w:color w:val="000000" w:themeColor="text1"/>
                <w:sz w:val="24"/>
                <w:szCs w:val="24"/>
              </w:rPr>
              <w:t xml:space="preserve"> </w:t>
            </w:r>
            <w:r w:rsidRPr="008D2B83">
              <w:rPr>
                <w:b/>
                <w:bCs/>
                <w:color w:val="000000" w:themeColor="text1"/>
                <w:sz w:val="24"/>
                <w:szCs w:val="24"/>
              </w:rPr>
              <w:t>BRANCHES</w:t>
            </w:r>
          </w:p>
        </w:tc>
      </w:tr>
      <w:tr w:rsidR="00D479DA" w14:paraId="48BDD1EB" w14:textId="77777777" w:rsidTr="00D479DA">
        <w:trPr>
          <w:trHeight w:val="630"/>
        </w:trPr>
        <w:tc>
          <w:tcPr>
            <w:tcW w:w="1838" w:type="dxa"/>
          </w:tcPr>
          <w:p w14:paraId="5EBBF432" w14:textId="01BA70BF" w:rsidR="00D479DA" w:rsidRDefault="00D479DA" w:rsidP="00C62EFB">
            <w:pPr>
              <w:rPr>
                <w:color w:val="000000" w:themeColor="text1"/>
                <w:sz w:val="24"/>
                <w:szCs w:val="24"/>
              </w:rPr>
            </w:pPr>
            <w:r>
              <w:rPr>
                <w:color w:val="000000" w:themeColor="text1"/>
                <w:sz w:val="24"/>
                <w:szCs w:val="24"/>
              </w:rPr>
              <w:t>1</w:t>
            </w:r>
          </w:p>
        </w:tc>
        <w:tc>
          <w:tcPr>
            <w:tcW w:w="1838" w:type="dxa"/>
          </w:tcPr>
          <w:p w14:paraId="6B941C98" w14:textId="3EAB0EB5" w:rsidR="00D479DA" w:rsidRDefault="00D479DA" w:rsidP="00C62EFB">
            <w:pPr>
              <w:rPr>
                <w:color w:val="000000" w:themeColor="text1"/>
                <w:sz w:val="24"/>
                <w:szCs w:val="24"/>
              </w:rPr>
            </w:pPr>
            <w:r w:rsidRPr="00D479DA">
              <w:rPr>
                <w:color w:val="000000" w:themeColor="text1"/>
                <w:sz w:val="24"/>
                <w:szCs w:val="24"/>
              </w:rPr>
              <w:t>JPMorgan Chase</w:t>
            </w:r>
          </w:p>
        </w:tc>
        <w:tc>
          <w:tcPr>
            <w:tcW w:w="1855" w:type="dxa"/>
          </w:tcPr>
          <w:p w14:paraId="2C19EBC8" w14:textId="2D8BD22D" w:rsidR="00D479DA" w:rsidRDefault="00D479DA" w:rsidP="00C62EFB">
            <w:pPr>
              <w:rPr>
                <w:color w:val="000000" w:themeColor="text1"/>
                <w:sz w:val="24"/>
                <w:szCs w:val="24"/>
              </w:rPr>
            </w:pPr>
            <w:r w:rsidRPr="00D479DA">
              <w:rPr>
                <w:color w:val="000000" w:themeColor="text1"/>
                <w:sz w:val="24"/>
                <w:szCs w:val="24"/>
              </w:rPr>
              <w:t>New York, NY</w:t>
            </w:r>
          </w:p>
        </w:tc>
        <w:tc>
          <w:tcPr>
            <w:tcW w:w="1837" w:type="dxa"/>
          </w:tcPr>
          <w:p w14:paraId="7977152B" w14:textId="259432D0" w:rsidR="00D479DA" w:rsidRDefault="00D479DA" w:rsidP="00C62EFB">
            <w:pPr>
              <w:rPr>
                <w:color w:val="000000" w:themeColor="text1"/>
                <w:sz w:val="24"/>
                <w:szCs w:val="24"/>
              </w:rPr>
            </w:pPr>
            <w:r w:rsidRPr="00D479DA">
              <w:rPr>
                <w:color w:val="000000" w:themeColor="text1"/>
                <w:sz w:val="24"/>
                <w:szCs w:val="24"/>
              </w:rPr>
              <w:t>$3.3 trillion</w:t>
            </w:r>
          </w:p>
        </w:tc>
        <w:tc>
          <w:tcPr>
            <w:tcW w:w="1839" w:type="dxa"/>
          </w:tcPr>
          <w:p w14:paraId="687417B1" w14:textId="208EC9F3" w:rsidR="00D479DA" w:rsidRDefault="00D479DA" w:rsidP="00C62EFB">
            <w:pPr>
              <w:rPr>
                <w:color w:val="000000" w:themeColor="text1"/>
                <w:sz w:val="24"/>
                <w:szCs w:val="24"/>
              </w:rPr>
            </w:pPr>
            <w:r w:rsidRPr="00D479DA">
              <w:rPr>
                <w:color w:val="000000" w:themeColor="text1"/>
                <w:sz w:val="24"/>
                <w:szCs w:val="24"/>
              </w:rPr>
              <w:t>4,800+</w:t>
            </w:r>
          </w:p>
        </w:tc>
      </w:tr>
      <w:tr w:rsidR="00D479DA" w14:paraId="00BFBDB8" w14:textId="77777777" w:rsidTr="00D479DA">
        <w:trPr>
          <w:trHeight w:val="621"/>
        </w:trPr>
        <w:tc>
          <w:tcPr>
            <w:tcW w:w="1838" w:type="dxa"/>
          </w:tcPr>
          <w:p w14:paraId="352AFE70" w14:textId="68841345" w:rsidR="00D479DA" w:rsidRDefault="00D479DA" w:rsidP="00C62EFB">
            <w:pPr>
              <w:rPr>
                <w:color w:val="000000" w:themeColor="text1"/>
                <w:sz w:val="24"/>
                <w:szCs w:val="24"/>
              </w:rPr>
            </w:pPr>
            <w:r>
              <w:rPr>
                <w:color w:val="000000" w:themeColor="text1"/>
                <w:sz w:val="24"/>
                <w:szCs w:val="24"/>
              </w:rPr>
              <w:t>2</w:t>
            </w:r>
          </w:p>
        </w:tc>
        <w:tc>
          <w:tcPr>
            <w:tcW w:w="1838" w:type="dxa"/>
          </w:tcPr>
          <w:p w14:paraId="4D6FCEE7" w14:textId="2AFBFB22" w:rsidR="00D479DA" w:rsidRDefault="00D479DA" w:rsidP="00C62EFB">
            <w:pPr>
              <w:rPr>
                <w:color w:val="000000" w:themeColor="text1"/>
                <w:sz w:val="24"/>
                <w:szCs w:val="24"/>
              </w:rPr>
            </w:pPr>
            <w:r w:rsidRPr="00D479DA">
              <w:rPr>
                <w:color w:val="000000" w:themeColor="text1"/>
                <w:sz w:val="24"/>
                <w:szCs w:val="24"/>
              </w:rPr>
              <w:t>Bank of America</w:t>
            </w:r>
          </w:p>
        </w:tc>
        <w:tc>
          <w:tcPr>
            <w:tcW w:w="1855" w:type="dxa"/>
          </w:tcPr>
          <w:p w14:paraId="556140F1" w14:textId="0439E162" w:rsidR="00D479DA" w:rsidRDefault="00D479DA" w:rsidP="00C62EFB">
            <w:pPr>
              <w:rPr>
                <w:color w:val="000000" w:themeColor="text1"/>
                <w:sz w:val="24"/>
                <w:szCs w:val="24"/>
              </w:rPr>
            </w:pPr>
            <w:r w:rsidRPr="00D479DA">
              <w:rPr>
                <w:color w:val="000000" w:themeColor="text1"/>
                <w:sz w:val="24"/>
                <w:szCs w:val="24"/>
              </w:rPr>
              <w:t>Charlotte, North Carolina</w:t>
            </w:r>
          </w:p>
        </w:tc>
        <w:tc>
          <w:tcPr>
            <w:tcW w:w="1837" w:type="dxa"/>
          </w:tcPr>
          <w:p w14:paraId="0F055344" w14:textId="5CED295D" w:rsidR="00D479DA" w:rsidRDefault="00D479DA" w:rsidP="00C62EFB">
            <w:pPr>
              <w:rPr>
                <w:color w:val="000000" w:themeColor="text1"/>
                <w:sz w:val="24"/>
                <w:szCs w:val="24"/>
              </w:rPr>
            </w:pPr>
            <w:r w:rsidRPr="00D479DA">
              <w:rPr>
                <w:color w:val="000000" w:themeColor="text1"/>
                <w:sz w:val="24"/>
                <w:szCs w:val="24"/>
              </w:rPr>
              <w:t>$2.4 trillion</w:t>
            </w:r>
          </w:p>
        </w:tc>
        <w:tc>
          <w:tcPr>
            <w:tcW w:w="1839" w:type="dxa"/>
          </w:tcPr>
          <w:p w14:paraId="5A5818E4" w14:textId="09AA4F72" w:rsidR="00D479DA" w:rsidRDefault="00D479DA" w:rsidP="00C62EFB">
            <w:pPr>
              <w:rPr>
                <w:color w:val="000000" w:themeColor="text1"/>
                <w:sz w:val="24"/>
                <w:szCs w:val="24"/>
              </w:rPr>
            </w:pPr>
            <w:r w:rsidRPr="00D479DA">
              <w:rPr>
                <w:color w:val="000000" w:themeColor="text1"/>
                <w:sz w:val="24"/>
                <w:szCs w:val="24"/>
              </w:rPr>
              <w:t>3,700+</w:t>
            </w:r>
          </w:p>
        </w:tc>
      </w:tr>
      <w:tr w:rsidR="00D479DA" w14:paraId="046CD622" w14:textId="77777777" w:rsidTr="00D479DA">
        <w:trPr>
          <w:trHeight w:val="630"/>
        </w:trPr>
        <w:tc>
          <w:tcPr>
            <w:tcW w:w="1838" w:type="dxa"/>
          </w:tcPr>
          <w:p w14:paraId="56DDFBFB" w14:textId="2DE42DA3" w:rsidR="00D479DA" w:rsidRDefault="00D479DA" w:rsidP="00C62EFB">
            <w:pPr>
              <w:rPr>
                <w:color w:val="000000" w:themeColor="text1"/>
                <w:sz w:val="24"/>
                <w:szCs w:val="24"/>
              </w:rPr>
            </w:pPr>
            <w:r>
              <w:rPr>
                <w:color w:val="000000" w:themeColor="text1"/>
                <w:sz w:val="24"/>
                <w:szCs w:val="24"/>
              </w:rPr>
              <w:t>3</w:t>
            </w:r>
          </w:p>
        </w:tc>
        <w:tc>
          <w:tcPr>
            <w:tcW w:w="1838" w:type="dxa"/>
          </w:tcPr>
          <w:p w14:paraId="1D18B89C" w14:textId="736213E5" w:rsidR="00D479DA" w:rsidRDefault="00D479DA" w:rsidP="00C62EFB">
            <w:pPr>
              <w:rPr>
                <w:color w:val="000000" w:themeColor="text1"/>
                <w:sz w:val="24"/>
                <w:szCs w:val="24"/>
              </w:rPr>
            </w:pPr>
            <w:r w:rsidRPr="00D479DA">
              <w:rPr>
                <w:color w:val="000000" w:themeColor="text1"/>
                <w:sz w:val="24"/>
                <w:szCs w:val="24"/>
              </w:rPr>
              <w:t>Wells Fargo</w:t>
            </w:r>
          </w:p>
        </w:tc>
        <w:tc>
          <w:tcPr>
            <w:tcW w:w="1855" w:type="dxa"/>
          </w:tcPr>
          <w:p w14:paraId="586EF13E" w14:textId="7BC3E488" w:rsidR="00D479DA" w:rsidRDefault="00D479DA" w:rsidP="00C62EFB">
            <w:pPr>
              <w:rPr>
                <w:color w:val="000000" w:themeColor="text1"/>
                <w:sz w:val="24"/>
                <w:szCs w:val="24"/>
              </w:rPr>
            </w:pPr>
            <w:r w:rsidRPr="00D479DA">
              <w:rPr>
                <w:color w:val="000000" w:themeColor="text1"/>
                <w:sz w:val="24"/>
                <w:szCs w:val="24"/>
              </w:rPr>
              <w:t>San Francisco, California</w:t>
            </w:r>
          </w:p>
        </w:tc>
        <w:tc>
          <w:tcPr>
            <w:tcW w:w="1837" w:type="dxa"/>
          </w:tcPr>
          <w:p w14:paraId="3329B6AF" w14:textId="18667F62" w:rsidR="00D479DA" w:rsidRDefault="00D479DA" w:rsidP="00C62EFB">
            <w:pPr>
              <w:rPr>
                <w:color w:val="000000" w:themeColor="text1"/>
                <w:sz w:val="24"/>
                <w:szCs w:val="24"/>
              </w:rPr>
            </w:pPr>
            <w:r w:rsidRPr="00D479DA">
              <w:rPr>
                <w:color w:val="000000" w:themeColor="text1"/>
                <w:sz w:val="24"/>
                <w:szCs w:val="24"/>
              </w:rPr>
              <w:t>$1.7 trillion</w:t>
            </w:r>
          </w:p>
        </w:tc>
        <w:tc>
          <w:tcPr>
            <w:tcW w:w="1839" w:type="dxa"/>
          </w:tcPr>
          <w:p w14:paraId="62522546" w14:textId="543D5556" w:rsidR="00D479DA" w:rsidRDefault="00D479DA" w:rsidP="00C62EFB">
            <w:pPr>
              <w:rPr>
                <w:color w:val="000000" w:themeColor="text1"/>
                <w:sz w:val="24"/>
                <w:szCs w:val="24"/>
              </w:rPr>
            </w:pPr>
            <w:r w:rsidRPr="00D479DA">
              <w:rPr>
                <w:color w:val="000000" w:themeColor="text1"/>
                <w:sz w:val="24"/>
                <w:szCs w:val="24"/>
              </w:rPr>
              <w:t>4,400+</w:t>
            </w:r>
          </w:p>
        </w:tc>
      </w:tr>
      <w:tr w:rsidR="00D479DA" w14:paraId="770283A1" w14:textId="77777777" w:rsidTr="00D479DA">
        <w:trPr>
          <w:trHeight w:val="621"/>
        </w:trPr>
        <w:tc>
          <w:tcPr>
            <w:tcW w:w="1838" w:type="dxa"/>
          </w:tcPr>
          <w:p w14:paraId="5E5F98D0" w14:textId="25B7A274" w:rsidR="00D479DA" w:rsidRDefault="00D479DA" w:rsidP="00C62EFB">
            <w:pPr>
              <w:rPr>
                <w:color w:val="000000" w:themeColor="text1"/>
                <w:sz w:val="24"/>
                <w:szCs w:val="24"/>
              </w:rPr>
            </w:pPr>
            <w:r>
              <w:rPr>
                <w:color w:val="000000" w:themeColor="text1"/>
                <w:sz w:val="24"/>
                <w:szCs w:val="24"/>
              </w:rPr>
              <w:t>4</w:t>
            </w:r>
          </w:p>
        </w:tc>
        <w:tc>
          <w:tcPr>
            <w:tcW w:w="1838" w:type="dxa"/>
          </w:tcPr>
          <w:p w14:paraId="147641D3" w14:textId="207414EF" w:rsidR="00D479DA" w:rsidRDefault="00D479DA" w:rsidP="00C62EFB">
            <w:pPr>
              <w:rPr>
                <w:color w:val="000000" w:themeColor="text1"/>
                <w:sz w:val="24"/>
                <w:szCs w:val="24"/>
              </w:rPr>
            </w:pPr>
            <w:r w:rsidRPr="00D479DA">
              <w:rPr>
                <w:color w:val="000000" w:themeColor="text1"/>
                <w:sz w:val="24"/>
                <w:szCs w:val="24"/>
              </w:rPr>
              <w:t>Citibank</w:t>
            </w:r>
          </w:p>
        </w:tc>
        <w:tc>
          <w:tcPr>
            <w:tcW w:w="1855" w:type="dxa"/>
          </w:tcPr>
          <w:p w14:paraId="17C80276" w14:textId="1BB33915" w:rsidR="00D479DA" w:rsidRDefault="00D479DA" w:rsidP="00C62EFB">
            <w:pPr>
              <w:rPr>
                <w:color w:val="000000" w:themeColor="text1"/>
                <w:sz w:val="24"/>
                <w:szCs w:val="24"/>
              </w:rPr>
            </w:pPr>
            <w:r w:rsidRPr="00D479DA">
              <w:rPr>
                <w:color w:val="000000" w:themeColor="text1"/>
                <w:sz w:val="24"/>
                <w:szCs w:val="24"/>
              </w:rPr>
              <w:t>New York, New York</w:t>
            </w:r>
          </w:p>
        </w:tc>
        <w:tc>
          <w:tcPr>
            <w:tcW w:w="1837" w:type="dxa"/>
          </w:tcPr>
          <w:p w14:paraId="6F13354B" w14:textId="5C95D98A" w:rsidR="00D479DA" w:rsidRDefault="00D479DA" w:rsidP="00C62EFB">
            <w:pPr>
              <w:rPr>
                <w:color w:val="000000" w:themeColor="text1"/>
                <w:sz w:val="24"/>
                <w:szCs w:val="24"/>
              </w:rPr>
            </w:pPr>
            <w:r w:rsidRPr="00D479DA">
              <w:rPr>
                <w:color w:val="000000" w:themeColor="text1"/>
                <w:sz w:val="24"/>
                <w:szCs w:val="24"/>
              </w:rPr>
              <w:t>$1.6 trillion</w:t>
            </w:r>
          </w:p>
        </w:tc>
        <w:tc>
          <w:tcPr>
            <w:tcW w:w="1839" w:type="dxa"/>
          </w:tcPr>
          <w:p w14:paraId="4EF06293" w14:textId="5F3A00C4" w:rsidR="00D479DA" w:rsidRDefault="00D479DA" w:rsidP="00C62EFB">
            <w:pPr>
              <w:rPr>
                <w:color w:val="000000" w:themeColor="text1"/>
                <w:sz w:val="24"/>
                <w:szCs w:val="24"/>
              </w:rPr>
            </w:pPr>
            <w:r w:rsidRPr="00D479DA">
              <w:rPr>
                <w:color w:val="000000" w:themeColor="text1"/>
                <w:sz w:val="24"/>
                <w:szCs w:val="24"/>
              </w:rPr>
              <w:t>650+</w:t>
            </w:r>
          </w:p>
        </w:tc>
      </w:tr>
      <w:tr w:rsidR="00D479DA" w14:paraId="24BF3157" w14:textId="77777777" w:rsidTr="00D479DA">
        <w:trPr>
          <w:trHeight w:val="630"/>
        </w:trPr>
        <w:tc>
          <w:tcPr>
            <w:tcW w:w="1838" w:type="dxa"/>
          </w:tcPr>
          <w:p w14:paraId="3680BCB6" w14:textId="10E0069F" w:rsidR="00D479DA" w:rsidRDefault="00D479DA" w:rsidP="00C62EFB">
            <w:pPr>
              <w:rPr>
                <w:color w:val="000000" w:themeColor="text1"/>
                <w:sz w:val="24"/>
                <w:szCs w:val="24"/>
              </w:rPr>
            </w:pPr>
            <w:r>
              <w:rPr>
                <w:color w:val="000000" w:themeColor="text1"/>
                <w:sz w:val="24"/>
                <w:szCs w:val="24"/>
              </w:rPr>
              <w:t>5</w:t>
            </w:r>
          </w:p>
        </w:tc>
        <w:tc>
          <w:tcPr>
            <w:tcW w:w="1838" w:type="dxa"/>
          </w:tcPr>
          <w:p w14:paraId="03D46A76" w14:textId="4B1C5420" w:rsidR="00D479DA" w:rsidRDefault="00D479DA" w:rsidP="00C62EFB">
            <w:pPr>
              <w:rPr>
                <w:color w:val="000000" w:themeColor="text1"/>
                <w:sz w:val="24"/>
                <w:szCs w:val="24"/>
              </w:rPr>
            </w:pPr>
            <w:r w:rsidRPr="00D479DA">
              <w:rPr>
                <w:color w:val="000000" w:themeColor="text1"/>
                <w:sz w:val="24"/>
                <w:szCs w:val="24"/>
              </w:rPr>
              <w:t>U.S. Bank</w:t>
            </w:r>
          </w:p>
        </w:tc>
        <w:tc>
          <w:tcPr>
            <w:tcW w:w="1855" w:type="dxa"/>
          </w:tcPr>
          <w:p w14:paraId="0704EA44" w14:textId="0D4FCCC8" w:rsidR="00D479DA" w:rsidRDefault="00D479DA" w:rsidP="00C62EFB">
            <w:pPr>
              <w:rPr>
                <w:color w:val="000000" w:themeColor="text1"/>
                <w:sz w:val="24"/>
                <w:szCs w:val="24"/>
              </w:rPr>
            </w:pPr>
            <w:r w:rsidRPr="00D479DA">
              <w:rPr>
                <w:color w:val="000000" w:themeColor="text1"/>
                <w:sz w:val="24"/>
                <w:szCs w:val="24"/>
              </w:rPr>
              <w:t>Minneapolis, Minnesota</w:t>
            </w:r>
          </w:p>
        </w:tc>
        <w:tc>
          <w:tcPr>
            <w:tcW w:w="1837" w:type="dxa"/>
          </w:tcPr>
          <w:p w14:paraId="629BEB6C" w14:textId="147760DA" w:rsidR="00D479DA" w:rsidRDefault="00D479DA" w:rsidP="00C62EFB">
            <w:pPr>
              <w:rPr>
                <w:color w:val="000000" w:themeColor="text1"/>
                <w:sz w:val="24"/>
                <w:szCs w:val="24"/>
              </w:rPr>
            </w:pPr>
            <w:r w:rsidRPr="00D479DA">
              <w:rPr>
                <w:color w:val="000000" w:themeColor="text1"/>
                <w:sz w:val="24"/>
                <w:szCs w:val="24"/>
              </w:rPr>
              <w:t>$657 billion</w:t>
            </w:r>
          </w:p>
        </w:tc>
        <w:tc>
          <w:tcPr>
            <w:tcW w:w="1839" w:type="dxa"/>
          </w:tcPr>
          <w:p w14:paraId="12A37B55" w14:textId="1DF15D4A" w:rsidR="00D479DA" w:rsidRDefault="00D479DA" w:rsidP="00C62EFB">
            <w:pPr>
              <w:rPr>
                <w:color w:val="000000" w:themeColor="text1"/>
                <w:sz w:val="24"/>
                <w:szCs w:val="24"/>
              </w:rPr>
            </w:pPr>
            <w:r w:rsidRPr="00D479DA">
              <w:rPr>
                <w:color w:val="000000" w:themeColor="text1"/>
                <w:sz w:val="24"/>
                <w:szCs w:val="24"/>
              </w:rPr>
              <w:t>2,300+</w:t>
            </w:r>
          </w:p>
        </w:tc>
      </w:tr>
      <w:tr w:rsidR="00D479DA" w14:paraId="3DB22D34" w14:textId="77777777" w:rsidTr="00D479DA">
        <w:trPr>
          <w:trHeight w:val="621"/>
        </w:trPr>
        <w:tc>
          <w:tcPr>
            <w:tcW w:w="1838" w:type="dxa"/>
          </w:tcPr>
          <w:p w14:paraId="55D498B1" w14:textId="7D6ACA5D" w:rsidR="00D479DA" w:rsidRDefault="00D479DA" w:rsidP="00C62EFB">
            <w:pPr>
              <w:rPr>
                <w:color w:val="000000" w:themeColor="text1"/>
                <w:sz w:val="24"/>
                <w:szCs w:val="24"/>
              </w:rPr>
            </w:pPr>
            <w:r>
              <w:rPr>
                <w:color w:val="000000" w:themeColor="text1"/>
                <w:sz w:val="24"/>
                <w:szCs w:val="24"/>
              </w:rPr>
              <w:t>6</w:t>
            </w:r>
          </w:p>
        </w:tc>
        <w:tc>
          <w:tcPr>
            <w:tcW w:w="1838" w:type="dxa"/>
          </w:tcPr>
          <w:p w14:paraId="57F2A015" w14:textId="452363DF" w:rsidR="00D479DA" w:rsidRDefault="00D479DA" w:rsidP="00C62EFB">
            <w:pPr>
              <w:rPr>
                <w:color w:val="000000" w:themeColor="text1"/>
                <w:sz w:val="24"/>
                <w:szCs w:val="24"/>
              </w:rPr>
            </w:pPr>
            <w:r w:rsidRPr="00D479DA">
              <w:rPr>
                <w:color w:val="000000" w:themeColor="text1"/>
                <w:sz w:val="24"/>
                <w:szCs w:val="24"/>
              </w:rPr>
              <w:t>PNC Bank</w:t>
            </w:r>
          </w:p>
        </w:tc>
        <w:tc>
          <w:tcPr>
            <w:tcW w:w="1855" w:type="dxa"/>
          </w:tcPr>
          <w:p w14:paraId="11F4210B" w14:textId="3DA81ED2" w:rsidR="00D479DA" w:rsidRDefault="00D479DA" w:rsidP="00C62EFB">
            <w:pPr>
              <w:rPr>
                <w:color w:val="000000" w:themeColor="text1"/>
                <w:sz w:val="24"/>
                <w:szCs w:val="24"/>
              </w:rPr>
            </w:pPr>
            <w:r w:rsidRPr="00D479DA">
              <w:rPr>
                <w:color w:val="000000" w:themeColor="text1"/>
                <w:sz w:val="24"/>
                <w:szCs w:val="24"/>
              </w:rPr>
              <w:t>Pittsburgh, Pennsylvania</w:t>
            </w:r>
          </w:p>
        </w:tc>
        <w:tc>
          <w:tcPr>
            <w:tcW w:w="1837" w:type="dxa"/>
          </w:tcPr>
          <w:p w14:paraId="5DA46D8C" w14:textId="3EA3B72A" w:rsidR="00D479DA" w:rsidRDefault="00D479DA" w:rsidP="00C62EFB">
            <w:pPr>
              <w:rPr>
                <w:color w:val="000000" w:themeColor="text1"/>
                <w:sz w:val="24"/>
                <w:szCs w:val="24"/>
              </w:rPr>
            </w:pPr>
            <w:r w:rsidRPr="00D479DA">
              <w:rPr>
                <w:color w:val="000000" w:themeColor="text1"/>
                <w:sz w:val="24"/>
                <w:szCs w:val="24"/>
              </w:rPr>
              <w:t>$553 billion</w:t>
            </w:r>
          </w:p>
        </w:tc>
        <w:tc>
          <w:tcPr>
            <w:tcW w:w="1839" w:type="dxa"/>
          </w:tcPr>
          <w:p w14:paraId="080B89CD" w14:textId="46CE92A6" w:rsidR="00D479DA" w:rsidRDefault="00D479DA" w:rsidP="00C62EFB">
            <w:pPr>
              <w:rPr>
                <w:color w:val="000000" w:themeColor="text1"/>
                <w:sz w:val="24"/>
                <w:szCs w:val="24"/>
              </w:rPr>
            </w:pPr>
            <w:r w:rsidRPr="00D479DA">
              <w:rPr>
                <w:color w:val="000000" w:themeColor="text1"/>
                <w:sz w:val="24"/>
                <w:szCs w:val="24"/>
              </w:rPr>
              <w:t>2,400+</w:t>
            </w:r>
          </w:p>
        </w:tc>
      </w:tr>
      <w:tr w:rsidR="00D479DA" w14:paraId="057D0876" w14:textId="77777777" w:rsidTr="00D479DA">
        <w:trPr>
          <w:trHeight w:val="630"/>
        </w:trPr>
        <w:tc>
          <w:tcPr>
            <w:tcW w:w="1838" w:type="dxa"/>
          </w:tcPr>
          <w:p w14:paraId="777CF26A" w14:textId="04E2525E" w:rsidR="00D479DA" w:rsidRDefault="00D479DA" w:rsidP="00C62EFB">
            <w:pPr>
              <w:rPr>
                <w:color w:val="000000" w:themeColor="text1"/>
                <w:sz w:val="24"/>
                <w:szCs w:val="24"/>
              </w:rPr>
            </w:pPr>
            <w:r>
              <w:rPr>
                <w:color w:val="000000" w:themeColor="text1"/>
                <w:sz w:val="24"/>
                <w:szCs w:val="24"/>
              </w:rPr>
              <w:t>7</w:t>
            </w:r>
          </w:p>
        </w:tc>
        <w:tc>
          <w:tcPr>
            <w:tcW w:w="1838" w:type="dxa"/>
          </w:tcPr>
          <w:p w14:paraId="0F6CB423" w14:textId="371E6BBE" w:rsidR="00D479DA" w:rsidRDefault="00D479DA" w:rsidP="00C62EFB">
            <w:pPr>
              <w:rPr>
                <w:color w:val="000000" w:themeColor="text1"/>
                <w:sz w:val="24"/>
                <w:szCs w:val="24"/>
              </w:rPr>
            </w:pPr>
            <w:r w:rsidRPr="00D479DA">
              <w:rPr>
                <w:color w:val="000000" w:themeColor="text1"/>
                <w:sz w:val="24"/>
                <w:szCs w:val="24"/>
              </w:rPr>
              <w:t>Goldman Sachs Bank</w:t>
            </w:r>
          </w:p>
        </w:tc>
        <w:tc>
          <w:tcPr>
            <w:tcW w:w="1855" w:type="dxa"/>
          </w:tcPr>
          <w:p w14:paraId="58475E48" w14:textId="108166DA" w:rsidR="00D479DA" w:rsidRDefault="00D479DA" w:rsidP="00C62EFB">
            <w:pPr>
              <w:rPr>
                <w:color w:val="000000" w:themeColor="text1"/>
                <w:sz w:val="24"/>
                <w:szCs w:val="24"/>
              </w:rPr>
            </w:pPr>
            <w:r w:rsidRPr="00D479DA">
              <w:rPr>
                <w:color w:val="000000" w:themeColor="text1"/>
                <w:sz w:val="24"/>
                <w:szCs w:val="24"/>
              </w:rPr>
              <w:t>New York, New York</w:t>
            </w:r>
          </w:p>
        </w:tc>
        <w:tc>
          <w:tcPr>
            <w:tcW w:w="1837" w:type="dxa"/>
          </w:tcPr>
          <w:p w14:paraId="44F8D981" w14:textId="7E267325" w:rsidR="00D479DA" w:rsidRDefault="00D479DA" w:rsidP="00C62EFB">
            <w:pPr>
              <w:rPr>
                <w:color w:val="000000" w:themeColor="text1"/>
                <w:sz w:val="24"/>
                <w:szCs w:val="24"/>
              </w:rPr>
            </w:pPr>
            <w:r w:rsidRPr="00D479DA">
              <w:rPr>
                <w:color w:val="000000" w:themeColor="text1"/>
                <w:sz w:val="24"/>
                <w:szCs w:val="24"/>
              </w:rPr>
              <w:t>$538 billion</w:t>
            </w:r>
          </w:p>
        </w:tc>
        <w:tc>
          <w:tcPr>
            <w:tcW w:w="1839" w:type="dxa"/>
          </w:tcPr>
          <w:p w14:paraId="19BD128A" w14:textId="56394834" w:rsidR="00D479DA" w:rsidRDefault="00D479DA" w:rsidP="00C62EFB">
            <w:pPr>
              <w:rPr>
                <w:color w:val="000000" w:themeColor="text1"/>
                <w:sz w:val="24"/>
                <w:szCs w:val="24"/>
              </w:rPr>
            </w:pPr>
            <w:r w:rsidRPr="00D479DA">
              <w:rPr>
                <w:color w:val="000000" w:themeColor="text1"/>
                <w:sz w:val="24"/>
                <w:szCs w:val="24"/>
              </w:rPr>
              <w:t>2</w:t>
            </w:r>
          </w:p>
        </w:tc>
      </w:tr>
      <w:tr w:rsidR="00D479DA" w14:paraId="3F3DAA65" w14:textId="77777777" w:rsidTr="00D479DA">
        <w:trPr>
          <w:trHeight w:val="630"/>
        </w:trPr>
        <w:tc>
          <w:tcPr>
            <w:tcW w:w="1838" w:type="dxa"/>
          </w:tcPr>
          <w:p w14:paraId="2CF222D6" w14:textId="6C175E63" w:rsidR="00D479DA" w:rsidRDefault="00E52DAC" w:rsidP="00C62EFB">
            <w:pPr>
              <w:rPr>
                <w:color w:val="000000" w:themeColor="text1"/>
                <w:sz w:val="24"/>
                <w:szCs w:val="24"/>
              </w:rPr>
            </w:pPr>
            <w:r>
              <w:rPr>
                <w:color w:val="000000" w:themeColor="text1"/>
                <w:sz w:val="24"/>
                <w:szCs w:val="24"/>
              </w:rPr>
              <w:t>8</w:t>
            </w:r>
          </w:p>
        </w:tc>
        <w:tc>
          <w:tcPr>
            <w:tcW w:w="1838" w:type="dxa"/>
          </w:tcPr>
          <w:p w14:paraId="602F3EB0" w14:textId="74B98F5C" w:rsidR="00D479DA" w:rsidRPr="00D479DA" w:rsidRDefault="00E52DAC" w:rsidP="00C62EFB">
            <w:pPr>
              <w:rPr>
                <w:color w:val="000000" w:themeColor="text1"/>
                <w:sz w:val="24"/>
                <w:szCs w:val="24"/>
              </w:rPr>
            </w:pPr>
            <w:r w:rsidRPr="00D479DA">
              <w:rPr>
                <w:color w:val="000000" w:themeColor="text1"/>
                <w:sz w:val="24"/>
                <w:szCs w:val="24"/>
              </w:rPr>
              <w:t>Truist Bank</w:t>
            </w:r>
          </w:p>
        </w:tc>
        <w:tc>
          <w:tcPr>
            <w:tcW w:w="1855" w:type="dxa"/>
          </w:tcPr>
          <w:p w14:paraId="0F84C2B4" w14:textId="76D11AAF" w:rsidR="00D479DA" w:rsidRPr="00D479DA" w:rsidRDefault="00E52DAC" w:rsidP="00C62EFB">
            <w:pPr>
              <w:rPr>
                <w:color w:val="000000" w:themeColor="text1"/>
                <w:sz w:val="24"/>
                <w:szCs w:val="24"/>
              </w:rPr>
            </w:pPr>
            <w:r w:rsidRPr="00D479DA">
              <w:rPr>
                <w:color w:val="000000" w:themeColor="text1"/>
                <w:sz w:val="24"/>
                <w:szCs w:val="24"/>
              </w:rPr>
              <w:t>Charlotte, North Carolina</w:t>
            </w:r>
          </w:p>
        </w:tc>
        <w:tc>
          <w:tcPr>
            <w:tcW w:w="1837" w:type="dxa"/>
          </w:tcPr>
          <w:p w14:paraId="732E21EB" w14:textId="4B6F9A00" w:rsidR="00D479DA" w:rsidRPr="00D479DA" w:rsidRDefault="00E52DAC" w:rsidP="00C62EFB">
            <w:pPr>
              <w:rPr>
                <w:color w:val="000000" w:themeColor="text1"/>
                <w:sz w:val="24"/>
                <w:szCs w:val="24"/>
              </w:rPr>
            </w:pPr>
            <w:r w:rsidRPr="00D479DA">
              <w:rPr>
                <w:color w:val="000000" w:themeColor="text1"/>
                <w:sz w:val="24"/>
                <w:szCs w:val="24"/>
              </w:rPr>
              <w:t>$535 billion</w:t>
            </w:r>
          </w:p>
        </w:tc>
        <w:tc>
          <w:tcPr>
            <w:tcW w:w="1839" w:type="dxa"/>
          </w:tcPr>
          <w:p w14:paraId="4BD82CDB" w14:textId="542FE3D2" w:rsidR="00D479DA" w:rsidRPr="00D479DA" w:rsidRDefault="00E52DAC" w:rsidP="00C62EFB">
            <w:pPr>
              <w:rPr>
                <w:color w:val="000000" w:themeColor="text1"/>
                <w:sz w:val="24"/>
                <w:szCs w:val="24"/>
              </w:rPr>
            </w:pPr>
            <w:r w:rsidRPr="00D479DA">
              <w:rPr>
                <w:color w:val="000000" w:themeColor="text1"/>
                <w:sz w:val="24"/>
                <w:szCs w:val="24"/>
              </w:rPr>
              <w:t>2,000+</w:t>
            </w:r>
          </w:p>
        </w:tc>
      </w:tr>
      <w:tr w:rsidR="00D479DA" w14:paraId="23D83670" w14:textId="77777777" w:rsidTr="00D479DA">
        <w:trPr>
          <w:trHeight w:val="630"/>
        </w:trPr>
        <w:tc>
          <w:tcPr>
            <w:tcW w:w="1838" w:type="dxa"/>
          </w:tcPr>
          <w:p w14:paraId="0915E355" w14:textId="578CDFFE" w:rsidR="00D479DA" w:rsidRDefault="00E52DAC" w:rsidP="00C62EFB">
            <w:pPr>
              <w:rPr>
                <w:color w:val="000000" w:themeColor="text1"/>
                <w:sz w:val="24"/>
                <w:szCs w:val="24"/>
              </w:rPr>
            </w:pPr>
            <w:r>
              <w:rPr>
                <w:color w:val="000000" w:themeColor="text1"/>
                <w:sz w:val="24"/>
                <w:szCs w:val="24"/>
              </w:rPr>
              <w:t>9</w:t>
            </w:r>
          </w:p>
        </w:tc>
        <w:tc>
          <w:tcPr>
            <w:tcW w:w="1838" w:type="dxa"/>
          </w:tcPr>
          <w:p w14:paraId="27BEE363" w14:textId="55108C26" w:rsidR="00D479DA" w:rsidRPr="00D479DA" w:rsidRDefault="00E52DAC" w:rsidP="00C62EFB">
            <w:pPr>
              <w:rPr>
                <w:color w:val="000000" w:themeColor="text1"/>
                <w:sz w:val="24"/>
                <w:szCs w:val="24"/>
              </w:rPr>
            </w:pPr>
            <w:r w:rsidRPr="00D479DA">
              <w:rPr>
                <w:color w:val="000000" w:themeColor="text1"/>
                <w:sz w:val="24"/>
                <w:szCs w:val="24"/>
              </w:rPr>
              <w:t>Capital One</w:t>
            </w:r>
          </w:p>
        </w:tc>
        <w:tc>
          <w:tcPr>
            <w:tcW w:w="1855" w:type="dxa"/>
          </w:tcPr>
          <w:p w14:paraId="61260695" w14:textId="02DE578F" w:rsidR="00D479DA" w:rsidRPr="00D479DA" w:rsidRDefault="00E52DAC" w:rsidP="00C62EFB">
            <w:pPr>
              <w:rPr>
                <w:color w:val="000000" w:themeColor="text1"/>
                <w:sz w:val="24"/>
                <w:szCs w:val="24"/>
              </w:rPr>
            </w:pPr>
            <w:r w:rsidRPr="00D479DA">
              <w:rPr>
                <w:color w:val="000000" w:themeColor="text1"/>
                <w:sz w:val="24"/>
                <w:szCs w:val="24"/>
              </w:rPr>
              <w:t>McLean, Virginia</w:t>
            </w:r>
          </w:p>
        </w:tc>
        <w:tc>
          <w:tcPr>
            <w:tcW w:w="1837" w:type="dxa"/>
          </w:tcPr>
          <w:p w14:paraId="0AD7761F" w14:textId="7CE25E1C" w:rsidR="00D479DA" w:rsidRPr="00D479DA" w:rsidRDefault="00E52DAC" w:rsidP="00C62EFB">
            <w:pPr>
              <w:rPr>
                <w:color w:val="000000" w:themeColor="text1"/>
                <w:sz w:val="24"/>
                <w:szCs w:val="24"/>
              </w:rPr>
            </w:pPr>
            <w:r w:rsidRPr="00D479DA">
              <w:rPr>
                <w:color w:val="000000" w:themeColor="text1"/>
                <w:sz w:val="24"/>
                <w:szCs w:val="24"/>
              </w:rPr>
              <w:t>$468 billion</w:t>
            </w:r>
          </w:p>
        </w:tc>
        <w:tc>
          <w:tcPr>
            <w:tcW w:w="1839" w:type="dxa"/>
          </w:tcPr>
          <w:p w14:paraId="06DB3DA2" w14:textId="4A151724" w:rsidR="00D479DA" w:rsidRPr="00D479DA" w:rsidRDefault="00E52DAC" w:rsidP="00C62EFB">
            <w:pPr>
              <w:rPr>
                <w:color w:val="000000" w:themeColor="text1"/>
                <w:sz w:val="24"/>
                <w:szCs w:val="24"/>
              </w:rPr>
            </w:pPr>
            <w:r w:rsidRPr="00D479DA">
              <w:rPr>
                <w:color w:val="000000" w:themeColor="text1"/>
                <w:sz w:val="24"/>
                <w:szCs w:val="24"/>
              </w:rPr>
              <w:t>280+</w:t>
            </w:r>
          </w:p>
        </w:tc>
      </w:tr>
      <w:tr w:rsidR="00D479DA" w14:paraId="0908F0CB" w14:textId="77777777" w:rsidTr="00D479DA">
        <w:trPr>
          <w:trHeight w:val="630"/>
        </w:trPr>
        <w:tc>
          <w:tcPr>
            <w:tcW w:w="1838" w:type="dxa"/>
          </w:tcPr>
          <w:p w14:paraId="225DE68F" w14:textId="2D5EA29E" w:rsidR="00D479DA" w:rsidRDefault="00E52DAC" w:rsidP="00C62EFB">
            <w:pPr>
              <w:rPr>
                <w:color w:val="000000" w:themeColor="text1"/>
                <w:sz w:val="24"/>
                <w:szCs w:val="24"/>
              </w:rPr>
            </w:pPr>
            <w:r>
              <w:rPr>
                <w:color w:val="000000" w:themeColor="text1"/>
                <w:sz w:val="24"/>
                <w:szCs w:val="24"/>
              </w:rPr>
              <w:t>10</w:t>
            </w:r>
          </w:p>
        </w:tc>
        <w:tc>
          <w:tcPr>
            <w:tcW w:w="1838" w:type="dxa"/>
          </w:tcPr>
          <w:p w14:paraId="0762B905" w14:textId="14BD5F05" w:rsidR="00D479DA" w:rsidRPr="00D479DA" w:rsidRDefault="00E52DAC" w:rsidP="00C62EFB">
            <w:pPr>
              <w:rPr>
                <w:color w:val="000000" w:themeColor="text1"/>
                <w:sz w:val="24"/>
                <w:szCs w:val="24"/>
              </w:rPr>
            </w:pPr>
            <w:r w:rsidRPr="00D479DA">
              <w:rPr>
                <w:color w:val="000000" w:themeColor="text1"/>
                <w:sz w:val="24"/>
                <w:szCs w:val="24"/>
              </w:rPr>
              <w:t>TD Bank</w:t>
            </w:r>
          </w:p>
        </w:tc>
        <w:tc>
          <w:tcPr>
            <w:tcW w:w="1855" w:type="dxa"/>
          </w:tcPr>
          <w:p w14:paraId="7160A9B7" w14:textId="5EB2D43E" w:rsidR="00D479DA" w:rsidRPr="00D479DA" w:rsidRDefault="00E52DAC" w:rsidP="00C62EFB">
            <w:pPr>
              <w:rPr>
                <w:color w:val="000000" w:themeColor="text1"/>
                <w:sz w:val="24"/>
                <w:szCs w:val="24"/>
              </w:rPr>
            </w:pPr>
            <w:r w:rsidRPr="00D479DA">
              <w:rPr>
                <w:color w:val="000000" w:themeColor="text1"/>
                <w:sz w:val="24"/>
                <w:szCs w:val="24"/>
              </w:rPr>
              <w:t>Cherry Hill, New Jersey</w:t>
            </w:r>
          </w:p>
        </w:tc>
        <w:tc>
          <w:tcPr>
            <w:tcW w:w="1837" w:type="dxa"/>
          </w:tcPr>
          <w:p w14:paraId="245BB476" w14:textId="2BE7372C" w:rsidR="00D479DA" w:rsidRPr="00D479DA" w:rsidRDefault="00E52DAC" w:rsidP="00C62EFB">
            <w:pPr>
              <w:rPr>
                <w:color w:val="000000" w:themeColor="text1"/>
                <w:sz w:val="24"/>
                <w:szCs w:val="24"/>
              </w:rPr>
            </w:pPr>
            <w:r w:rsidRPr="00D479DA">
              <w:rPr>
                <w:color w:val="000000" w:themeColor="text1"/>
                <w:sz w:val="24"/>
                <w:szCs w:val="24"/>
              </w:rPr>
              <w:t>$366 billion</w:t>
            </w:r>
          </w:p>
        </w:tc>
        <w:tc>
          <w:tcPr>
            <w:tcW w:w="1839" w:type="dxa"/>
          </w:tcPr>
          <w:p w14:paraId="6D26EAC1" w14:textId="601BDC20" w:rsidR="00D479DA" w:rsidRPr="00D479DA" w:rsidRDefault="00E52DAC" w:rsidP="00C62EFB">
            <w:pPr>
              <w:rPr>
                <w:color w:val="000000" w:themeColor="text1"/>
                <w:sz w:val="24"/>
                <w:szCs w:val="24"/>
              </w:rPr>
            </w:pPr>
            <w:r w:rsidRPr="00D479DA">
              <w:rPr>
                <w:color w:val="000000" w:themeColor="text1"/>
                <w:sz w:val="24"/>
                <w:szCs w:val="24"/>
              </w:rPr>
              <w:t>1,100+</w:t>
            </w:r>
          </w:p>
        </w:tc>
      </w:tr>
    </w:tbl>
    <w:p w14:paraId="5E17EAD7" w14:textId="77777777" w:rsidR="00E52DAC" w:rsidRPr="00E52DAC" w:rsidRDefault="00E52DAC" w:rsidP="00E52DAC">
      <w:pPr>
        <w:rPr>
          <w:color w:val="000000" w:themeColor="text1"/>
          <w:sz w:val="24"/>
          <w:szCs w:val="24"/>
        </w:rPr>
      </w:pPr>
      <w:r w:rsidRPr="00E52DAC">
        <w:rPr>
          <w:color w:val="000000" w:themeColor="text1"/>
          <w:sz w:val="24"/>
          <w:szCs w:val="24"/>
        </w:rPr>
        <w:t>Banks make money by imposing service charges on their customers. These fees vary based on the products, ranging from account fees (monthly maintenance charges, minimum balance fees, overdraft fees, and non-sufficient funds [NSF] charges), safe deposit box fees, and late fees. Many loan products also contain fees in addition to interest charges.</w:t>
      </w:r>
    </w:p>
    <w:p w14:paraId="569912D2" w14:textId="77777777" w:rsidR="00E52DAC" w:rsidRPr="00E52DAC" w:rsidRDefault="00E52DAC" w:rsidP="00E52DAC">
      <w:pPr>
        <w:rPr>
          <w:color w:val="000000" w:themeColor="text1"/>
          <w:sz w:val="24"/>
          <w:szCs w:val="24"/>
        </w:rPr>
      </w:pPr>
    </w:p>
    <w:p w14:paraId="4973DE87" w14:textId="77777777" w:rsidR="00E52DAC" w:rsidRPr="00E52DAC" w:rsidRDefault="00E52DAC" w:rsidP="00E52DAC">
      <w:pPr>
        <w:rPr>
          <w:color w:val="000000" w:themeColor="text1"/>
          <w:sz w:val="24"/>
          <w:szCs w:val="24"/>
        </w:rPr>
      </w:pPr>
      <w:r w:rsidRPr="00E52DAC">
        <w:rPr>
          <w:color w:val="000000" w:themeColor="text1"/>
          <w:sz w:val="24"/>
          <w:szCs w:val="24"/>
        </w:rPr>
        <w:t>Banks also make money from the interest they earn when they lend money to their clients. The funds they lend come from customer deposits. However, the interest rate paid by banks on the money they borrow is less than the rate charged on the money they lend. For example, a bank may offer savings account customers an annual interest rate of 0.25%, while charging mortgage clients 4.75% in interest annually.</w:t>
      </w:r>
    </w:p>
    <w:p w14:paraId="7D2CAB85" w14:textId="77777777" w:rsidR="00E52DAC" w:rsidRPr="00E52DAC" w:rsidRDefault="00E52DAC" w:rsidP="00E52DAC">
      <w:pPr>
        <w:rPr>
          <w:color w:val="000000" w:themeColor="text1"/>
          <w:sz w:val="24"/>
          <w:szCs w:val="24"/>
        </w:rPr>
      </w:pPr>
    </w:p>
    <w:p w14:paraId="5836D5FA" w14:textId="35BCFC49" w:rsidR="00D479DA" w:rsidRDefault="00E52DAC" w:rsidP="00E52DAC">
      <w:pPr>
        <w:rPr>
          <w:color w:val="000000" w:themeColor="text1"/>
          <w:sz w:val="24"/>
          <w:szCs w:val="24"/>
        </w:rPr>
      </w:pPr>
      <w:r w:rsidRPr="00E52DAC">
        <w:rPr>
          <w:color w:val="000000" w:themeColor="text1"/>
          <w:sz w:val="24"/>
          <w:szCs w:val="24"/>
        </w:rPr>
        <w:lastRenderedPageBreak/>
        <w:t>Many banks pay their customers no interest (or very little) at all on checking account balances and offer interest rates for savings accounts that are well below U.S. Treasury bond (T-bond) rates.</w:t>
      </w:r>
    </w:p>
    <w:p w14:paraId="3C25C95B" w14:textId="77777777" w:rsidR="00E52DAC" w:rsidRPr="00E52DAC" w:rsidRDefault="00E52DAC" w:rsidP="00E52DAC">
      <w:pPr>
        <w:rPr>
          <w:b/>
          <w:bCs/>
          <w:color w:val="833C0B" w:themeColor="accent2" w:themeShade="80"/>
          <w:sz w:val="28"/>
          <w:szCs w:val="28"/>
        </w:rPr>
      </w:pPr>
      <w:r w:rsidRPr="00E52DAC">
        <w:rPr>
          <w:b/>
          <w:bCs/>
          <w:color w:val="833C0B" w:themeColor="accent2" w:themeShade="80"/>
          <w:sz w:val="28"/>
          <w:szCs w:val="28"/>
        </w:rPr>
        <w:t>Commercial Banks and Lending</w:t>
      </w:r>
    </w:p>
    <w:p w14:paraId="363A1852" w14:textId="10AA8BF1" w:rsidR="00E52DAC" w:rsidRDefault="00E52DAC" w:rsidP="00E52DAC">
      <w:pPr>
        <w:rPr>
          <w:color w:val="000000" w:themeColor="text1"/>
          <w:sz w:val="24"/>
          <w:szCs w:val="24"/>
        </w:rPr>
      </w:pPr>
      <w:r w:rsidRPr="00E52DAC">
        <w:rPr>
          <w:color w:val="000000" w:themeColor="text1"/>
          <w:sz w:val="24"/>
          <w:szCs w:val="24"/>
        </w:rPr>
        <w:t>Consumer lending makes up the bulk of North American bank lending. Some of the most significant categories include residential mortgages, automobile lending, and credit cards.</w:t>
      </w:r>
    </w:p>
    <w:p w14:paraId="616AE46E" w14:textId="77777777" w:rsidR="00E52DAC" w:rsidRPr="00E52DAC" w:rsidRDefault="00E52DAC" w:rsidP="00E52DAC">
      <w:pPr>
        <w:rPr>
          <w:b/>
          <w:bCs/>
          <w:color w:val="000000" w:themeColor="text1"/>
          <w:sz w:val="24"/>
          <w:szCs w:val="24"/>
        </w:rPr>
      </w:pPr>
      <w:r w:rsidRPr="00E52DAC">
        <w:rPr>
          <w:b/>
          <w:bCs/>
          <w:color w:val="000000" w:themeColor="text1"/>
          <w:sz w:val="24"/>
          <w:szCs w:val="24"/>
        </w:rPr>
        <w:t>Residential Mortgages</w:t>
      </w:r>
    </w:p>
    <w:p w14:paraId="6F10C5CE" w14:textId="5CCA3989" w:rsidR="00E52DAC" w:rsidRDefault="00E52DAC" w:rsidP="00E52DAC">
      <w:pPr>
        <w:rPr>
          <w:color w:val="000000" w:themeColor="text1"/>
          <w:sz w:val="24"/>
          <w:szCs w:val="24"/>
        </w:rPr>
      </w:pPr>
      <w:r w:rsidRPr="00E52DAC">
        <w:rPr>
          <w:color w:val="000000" w:themeColor="text1"/>
          <w:sz w:val="24"/>
          <w:szCs w:val="24"/>
        </w:rPr>
        <w:t>Mortgages make up by far the largest share. Mortgages are used to buy properties, and the homes themselves are often the security that collateralizes the loan. Mortgages are typically written for 30-year repayment periods, and interest rates may be fixed, adjustable, or variable.</w:t>
      </w:r>
    </w:p>
    <w:p w14:paraId="27C7C671" w14:textId="77777777" w:rsidR="00E52DAC" w:rsidRPr="00E52DAC" w:rsidRDefault="00E52DAC" w:rsidP="00E52DAC">
      <w:pPr>
        <w:rPr>
          <w:b/>
          <w:bCs/>
          <w:color w:val="000000" w:themeColor="text1"/>
          <w:sz w:val="24"/>
          <w:szCs w:val="24"/>
        </w:rPr>
      </w:pPr>
      <w:r w:rsidRPr="00E52DAC">
        <w:rPr>
          <w:b/>
          <w:bCs/>
          <w:color w:val="000000" w:themeColor="text1"/>
          <w:sz w:val="24"/>
          <w:szCs w:val="24"/>
        </w:rPr>
        <w:t>Auto Loans</w:t>
      </w:r>
    </w:p>
    <w:p w14:paraId="182194DF" w14:textId="3614B719" w:rsidR="00E52DAC" w:rsidRDefault="00E52DAC" w:rsidP="00E52DAC">
      <w:pPr>
        <w:rPr>
          <w:color w:val="000000" w:themeColor="text1"/>
          <w:sz w:val="24"/>
          <w:szCs w:val="24"/>
        </w:rPr>
      </w:pPr>
      <w:r w:rsidRPr="00E52DAC">
        <w:rPr>
          <w:color w:val="000000" w:themeColor="text1"/>
          <w:sz w:val="24"/>
          <w:szCs w:val="24"/>
        </w:rPr>
        <w:t>Automobile lending is another significant category of secured lending for many banks. Compared to mortgage lending, auto loans are typically for shorter terms and higher rates. Banks face extensive competition in auto lending from other financial institutions, like captive auto financing operations run by automobile manufacturers and dealers.</w:t>
      </w:r>
    </w:p>
    <w:p w14:paraId="2178C5AA" w14:textId="77777777" w:rsidR="00E52DAC" w:rsidRPr="00E52DAC" w:rsidRDefault="00E52DAC" w:rsidP="00E52DAC">
      <w:pPr>
        <w:rPr>
          <w:b/>
          <w:bCs/>
          <w:color w:val="000000" w:themeColor="text1"/>
          <w:sz w:val="24"/>
          <w:szCs w:val="24"/>
        </w:rPr>
      </w:pPr>
      <w:r w:rsidRPr="00E52DAC">
        <w:rPr>
          <w:b/>
          <w:bCs/>
          <w:color w:val="000000" w:themeColor="text1"/>
          <w:sz w:val="24"/>
          <w:szCs w:val="24"/>
        </w:rPr>
        <w:t>Credit Cards</w:t>
      </w:r>
    </w:p>
    <w:p w14:paraId="2E7CD50F" w14:textId="3143D5B0" w:rsidR="00E52DAC" w:rsidRPr="00D479DA" w:rsidRDefault="00E52DAC" w:rsidP="00E52DAC">
      <w:pPr>
        <w:rPr>
          <w:color w:val="000000" w:themeColor="text1"/>
          <w:sz w:val="24"/>
          <w:szCs w:val="24"/>
        </w:rPr>
      </w:pPr>
      <w:r w:rsidRPr="00E52DAC">
        <w:rPr>
          <w:color w:val="000000" w:themeColor="text1"/>
          <w:sz w:val="24"/>
          <w:szCs w:val="24"/>
        </w:rPr>
        <w:t>Credit cards are another significant type of financing. Credit cards are, in essence, personal lines of credit that can be drawn down at any time. Private card issuers offer them through commercial banks.</w:t>
      </w:r>
    </w:p>
    <w:p w14:paraId="20565416" w14:textId="27D8AB04" w:rsidR="00D479DA" w:rsidRPr="00C62EFB" w:rsidRDefault="00D479DA" w:rsidP="00D479DA">
      <w:pPr>
        <w:rPr>
          <w:color w:val="000000" w:themeColor="text1"/>
          <w:sz w:val="24"/>
          <w:szCs w:val="24"/>
        </w:rPr>
      </w:pPr>
    </w:p>
    <w:sectPr w:rsidR="00D479DA" w:rsidRPr="00C62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6C"/>
    <w:rsid w:val="004B6D01"/>
    <w:rsid w:val="005969BB"/>
    <w:rsid w:val="0061056C"/>
    <w:rsid w:val="007340F7"/>
    <w:rsid w:val="008D2B83"/>
    <w:rsid w:val="00C62EFB"/>
    <w:rsid w:val="00CC7659"/>
    <w:rsid w:val="00D479DA"/>
    <w:rsid w:val="00E52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0384"/>
  <w15:chartTrackingRefBased/>
  <w15:docId w15:val="{7500A5D3-E332-4EF2-BD77-C4D4A85A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5</cp:revision>
  <dcterms:created xsi:type="dcterms:W3CDTF">2024-06-18T10:56:00Z</dcterms:created>
  <dcterms:modified xsi:type="dcterms:W3CDTF">2024-06-18T12:07:00Z</dcterms:modified>
</cp:coreProperties>
</file>