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89422" w14:textId="5C541F7F" w:rsidR="005969BB" w:rsidRDefault="00BA53CF" w:rsidP="00BA53CF">
      <w:pPr>
        <w:jc w:val="center"/>
        <w:rPr>
          <w:b/>
          <w:bCs/>
          <w:color w:val="2E74B5" w:themeColor="accent5" w:themeShade="BF"/>
          <w:sz w:val="32"/>
          <w:szCs w:val="32"/>
          <w:u w:val="single"/>
        </w:rPr>
      </w:pPr>
      <w:r w:rsidRPr="00BA53CF">
        <w:rPr>
          <w:b/>
          <w:bCs/>
          <w:color w:val="2E74B5" w:themeColor="accent5" w:themeShade="BF"/>
          <w:sz w:val="32"/>
          <w:szCs w:val="32"/>
          <w:u w:val="single"/>
        </w:rPr>
        <w:t>Retail Banking Operation</w:t>
      </w:r>
    </w:p>
    <w:p w14:paraId="50F8CCF5" w14:textId="38358700" w:rsidR="00BA53CF" w:rsidRDefault="00BA53CF" w:rsidP="00BA53CF">
      <w:pPr>
        <w:rPr>
          <w:color w:val="000000" w:themeColor="text1"/>
          <w:sz w:val="24"/>
          <w:szCs w:val="24"/>
        </w:rPr>
      </w:pPr>
      <w:r w:rsidRPr="00BA53CF">
        <w:rPr>
          <w:color w:val="000000" w:themeColor="text1"/>
          <w:sz w:val="24"/>
          <w:szCs w:val="24"/>
        </w:rPr>
        <w:t>Retail banking is primarily concerned with offering financial goods and services to private individuals and small companies. These services usually consist of checking and savings accounts, credit cards, mortgages, personal loans, and investment goods.</w:t>
      </w:r>
    </w:p>
    <w:p w14:paraId="0BF265D1" w14:textId="0FF22492" w:rsidR="00BA53CF" w:rsidRPr="00BA53CF" w:rsidRDefault="00BA53CF" w:rsidP="00BA53CF">
      <w:pPr>
        <w:rPr>
          <w:b/>
          <w:bCs/>
          <w:color w:val="538135" w:themeColor="accent6" w:themeShade="BF"/>
          <w:sz w:val="28"/>
          <w:szCs w:val="28"/>
        </w:rPr>
      </w:pPr>
      <w:r w:rsidRPr="00BA53CF">
        <w:rPr>
          <w:b/>
          <w:bCs/>
          <w:color w:val="538135" w:themeColor="accent6" w:themeShade="BF"/>
          <w:sz w:val="28"/>
          <w:szCs w:val="28"/>
        </w:rPr>
        <w:t>US Retail Banking Market Leaders</w:t>
      </w:r>
    </w:p>
    <w:p w14:paraId="36668050" w14:textId="5771BD32" w:rsidR="00BA53CF" w:rsidRPr="00BA53CF" w:rsidRDefault="00BA53CF" w:rsidP="00BA53CF">
      <w:pPr>
        <w:rPr>
          <w:color w:val="000000" w:themeColor="text1"/>
          <w:sz w:val="24"/>
          <w:szCs w:val="24"/>
        </w:rPr>
      </w:pPr>
      <w:r w:rsidRPr="00BA53CF">
        <w:rPr>
          <w:color w:val="000000" w:themeColor="text1"/>
          <w:sz w:val="24"/>
          <w:szCs w:val="24"/>
        </w:rPr>
        <w:t>PNC Financial Services</w:t>
      </w:r>
    </w:p>
    <w:p w14:paraId="02A0D3E0" w14:textId="4173FDEE" w:rsidR="00BA53CF" w:rsidRPr="00BA53CF" w:rsidRDefault="00BA53CF" w:rsidP="00BA53CF">
      <w:pPr>
        <w:rPr>
          <w:color w:val="000000" w:themeColor="text1"/>
          <w:sz w:val="24"/>
          <w:szCs w:val="24"/>
        </w:rPr>
      </w:pPr>
      <w:r w:rsidRPr="00BA53CF">
        <w:rPr>
          <w:color w:val="000000" w:themeColor="text1"/>
          <w:sz w:val="24"/>
          <w:szCs w:val="24"/>
        </w:rPr>
        <w:t>Bank of America</w:t>
      </w:r>
    </w:p>
    <w:p w14:paraId="10E4AA19" w14:textId="19E17A57" w:rsidR="00BA53CF" w:rsidRPr="00BA53CF" w:rsidRDefault="00BA53CF" w:rsidP="00BA53CF">
      <w:pPr>
        <w:rPr>
          <w:color w:val="000000" w:themeColor="text1"/>
          <w:sz w:val="24"/>
          <w:szCs w:val="24"/>
        </w:rPr>
      </w:pPr>
      <w:r w:rsidRPr="00BA53CF">
        <w:rPr>
          <w:color w:val="000000" w:themeColor="text1"/>
          <w:sz w:val="24"/>
          <w:szCs w:val="24"/>
        </w:rPr>
        <w:t>US Bank</w:t>
      </w:r>
    </w:p>
    <w:p w14:paraId="4E6908B9" w14:textId="7A1F1E23" w:rsidR="00BA53CF" w:rsidRPr="00BA53CF" w:rsidRDefault="00BA53CF" w:rsidP="00BA53CF">
      <w:pPr>
        <w:rPr>
          <w:color w:val="000000" w:themeColor="text1"/>
          <w:sz w:val="24"/>
          <w:szCs w:val="24"/>
        </w:rPr>
      </w:pPr>
      <w:r w:rsidRPr="00BA53CF">
        <w:rPr>
          <w:color w:val="000000" w:themeColor="text1"/>
          <w:sz w:val="24"/>
          <w:szCs w:val="24"/>
        </w:rPr>
        <w:t>JP Morgan Chase and Co.</w:t>
      </w:r>
    </w:p>
    <w:p w14:paraId="1081360C" w14:textId="16D4304F" w:rsidR="00BA53CF" w:rsidRDefault="00BA53CF" w:rsidP="00BA53CF">
      <w:pPr>
        <w:rPr>
          <w:color w:val="000000" w:themeColor="text1"/>
          <w:sz w:val="24"/>
          <w:szCs w:val="24"/>
        </w:rPr>
      </w:pPr>
      <w:r w:rsidRPr="00BA53CF">
        <w:rPr>
          <w:color w:val="000000" w:themeColor="text1"/>
          <w:sz w:val="24"/>
          <w:szCs w:val="24"/>
        </w:rPr>
        <w:t xml:space="preserve">Wells Fargo </w:t>
      </w:r>
    </w:p>
    <w:tbl>
      <w:tblPr>
        <w:tblStyle w:val="TableGrid"/>
        <w:tblW w:w="0" w:type="auto"/>
        <w:tblLook w:val="04A0" w:firstRow="1" w:lastRow="0" w:firstColumn="1" w:lastColumn="0" w:noHBand="0" w:noVBand="1"/>
      </w:tblPr>
      <w:tblGrid>
        <w:gridCol w:w="2254"/>
        <w:gridCol w:w="2254"/>
        <w:gridCol w:w="2254"/>
        <w:gridCol w:w="2254"/>
      </w:tblGrid>
      <w:tr w:rsidR="00C76A8E" w14:paraId="2DBA5CFF" w14:textId="77777777" w:rsidTr="00C76A8E">
        <w:tc>
          <w:tcPr>
            <w:tcW w:w="2254" w:type="dxa"/>
          </w:tcPr>
          <w:p w14:paraId="2C840262" w14:textId="4D3B3F25" w:rsidR="00C76A8E" w:rsidRDefault="00C76A8E" w:rsidP="00BA53CF">
            <w:pPr>
              <w:rPr>
                <w:color w:val="000000" w:themeColor="text1"/>
                <w:sz w:val="24"/>
                <w:szCs w:val="24"/>
              </w:rPr>
            </w:pPr>
            <w:r w:rsidRPr="00C76A8E">
              <w:rPr>
                <w:color w:val="000000" w:themeColor="text1"/>
                <w:sz w:val="24"/>
                <w:szCs w:val="24"/>
              </w:rPr>
              <w:t>Bank</w:t>
            </w:r>
          </w:p>
        </w:tc>
        <w:tc>
          <w:tcPr>
            <w:tcW w:w="2254" w:type="dxa"/>
          </w:tcPr>
          <w:p w14:paraId="5F5C4670" w14:textId="1D9B7303" w:rsidR="00C76A8E" w:rsidRDefault="00C76A8E" w:rsidP="00BA53CF">
            <w:pPr>
              <w:rPr>
                <w:color w:val="000000" w:themeColor="text1"/>
                <w:sz w:val="24"/>
                <w:szCs w:val="24"/>
              </w:rPr>
            </w:pPr>
            <w:r w:rsidRPr="00C76A8E">
              <w:rPr>
                <w:color w:val="000000" w:themeColor="text1"/>
                <w:sz w:val="24"/>
                <w:szCs w:val="24"/>
              </w:rPr>
              <w:t>ATMs</w:t>
            </w:r>
          </w:p>
        </w:tc>
        <w:tc>
          <w:tcPr>
            <w:tcW w:w="2254" w:type="dxa"/>
          </w:tcPr>
          <w:p w14:paraId="7207128C" w14:textId="16BA67BB" w:rsidR="00C76A8E" w:rsidRDefault="00C76A8E" w:rsidP="00BA53CF">
            <w:pPr>
              <w:rPr>
                <w:color w:val="000000" w:themeColor="text1"/>
                <w:sz w:val="24"/>
                <w:szCs w:val="24"/>
              </w:rPr>
            </w:pPr>
            <w:r w:rsidRPr="00C76A8E">
              <w:rPr>
                <w:color w:val="000000" w:themeColor="text1"/>
                <w:sz w:val="24"/>
                <w:szCs w:val="24"/>
              </w:rPr>
              <w:t>Total Revenue (2023)</w:t>
            </w:r>
          </w:p>
        </w:tc>
        <w:tc>
          <w:tcPr>
            <w:tcW w:w="2254" w:type="dxa"/>
          </w:tcPr>
          <w:p w14:paraId="145F793A" w14:textId="73BF435D" w:rsidR="00C76A8E" w:rsidRDefault="00C76A8E" w:rsidP="00BA53CF">
            <w:pPr>
              <w:rPr>
                <w:color w:val="000000" w:themeColor="text1"/>
                <w:sz w:val="24"/>
                <w:szCs w:val="24"/>
              </w:rPr>
            </w:pPr>
            <w:r w:rsidRPr="00C76A8E">
              <w:rPr>
                <w:color w:val="000000" w:themeColor="text1"/>
                <w:sz w:val="24"/>
                <w:szCs w:val="24"/>
              </w:rPr>
              <w:t>Net Income (2023)</w:t>
            </w:r>
          </w:p>
        </w:tc>
      </w:tr>
      <w:tr w:rsidR="00C76A8E" w14:paraId="782BB14F" w14:textId="77777777" w:rsidTr="00C76A8E">
        <w:tc>
          <w:tcPr>
            <w:tcW w:w="2254" w:type="dxa"/>
          </w:tcPr>
          <w:p w14:paraId="618E5B95" w14:textId="1D9E0945" w:rsidR="00C76A8E" w:rsidRDefault="00BB28CF" w:rsidP="00BA53CF">
            <w:pPr>
              <w:rPr>
                <w:color w:val="000000" w:themeColor="text1"/>
                <w:sz w:val="24"/>
                <w:szCs w:val="24"/>
              </w:rPr>
            </w:pPr>
            <w:r w:rsidRPr="00BA53CF">
              <w:rPr>
                <w:color w:val="000000" w:themeColor="text1"/>
                <w:sz w:val="24"/>
                <w:szCs w:val="24"/>
              </w:rPr>
              <w:t>PNC Financial Services</w:t>
            </w:r>
          </w:p>
        </w:tc>
        <w:tc>
          <w:tcPr>
            <w:tcW w:w="2254" w:type="dxa"/>
          </w:tcPr>
          <w:p w14:paraId="2D5C3EC5" w14:textId="6430A8D1" w:rsidR="00C76A8E" w:rsidRDefault="00BB28CF" w:rsidP="00BA53CF">
            <w:pPr>
              <w:rPr>
                <w:color w:val="000000" w:themeColor="text1"/>
                <w:sz w:val="24"/>
                <w:szCs w:val="24"/>
              </w:rPr>
            </w:pPr>
            <w:r w:rsidRPr="00BB28CF">
              <w:rPr>
                <w:color w:val="000000" w:themeColor="text1"/>
                <w:sz w:val="24"/>
                <w:szCs w:val="24"/>
              </w:rPr>
              <w:t>9,000</w:t>
            </w:r>
          </w:p>
        </w:tc>
        <w:tc>
          <w:tcPr>
            <w:tcW w:w="2254" w:type="dxa"/>
          </w:tcPr>
          <w:p w14:paraId="46E0C4A9" w14:textId="0F907F56" w:rsidR="00C76A8E" w:rsidRDefault="00BB28CF" w:rsidP="00BA53CF">
            <w:pPr>
              <w:rPr>
                <w:color w:val="000000" w:themeColor="text1"/>
                <w:sz w:val="24"/>
                <w:szCs w:val="24"/>
              </w:rPr>
            </w:pPr>
            <w:r w:rsidRPr="00BB28CF">
              <w:rPr>
                <w:color w:val="000000" w:themeColor="text1"/>
                <w:sz w:val="24"/>
                <w:szCs w:val="24"/>
              </w:rPr>
              <w:t>$21.4 billion</w:t>
            </w:r>
          </w:p>
        </w:tc>
        <w:tc>
          <w:tcPr>
            <w:tcW w:w="2254" w:type="dxa"/>
          </w:tcPr>
          <w:p w14:paraId="37E570F8" w14:textId="54DDBAFF" w:rsidR="00C76A8E" w:rsidRDefault="00BB28CF" w:rsidP="00BA53CF">
            <w:pPr>
              <w:rPr>
                <w:color w:val="000000" w:themeColor="text1"/>
                <w:sz w:val="24"/>
                <w:szCs w:val="24"/>
              </w:rPr>
            </w:pPr>
            <w:r w:rsidRPr="00BB28CF">
              <w:rPr>
                <w:color w:val="000000" w:themeColor="text1"/>
                <w:sz w:val="24"/>
                <w:szCs w:val="24"/>
              </w:rPr>
              <w:t>$6.1 billion</w:t>
            </w:r>
          </w:p>
        </w:tc>
      </w:tr>
      <w:tr w:rsidR="00C76A8E" w14:paraId="4EB837BE" w14:textId="77777777" w:rsidTr="00C76A8E">
        <w:tc>
          <w:tcPr>
            <w:tcW w:w="2254" w:type="dxa"/>
          </w:tcPr>
          <w:p w14:paraId="3F3E0E06" w14:textId="630FFA04" w:rsidR="00C76A8E" w:rsidRDefault="00C76A8E" w:rsidP="00BA53CF">
            <w:pPr>
              <w:rPr>
                <w:color w:val="000000" w:themeColor="text1"/>
                <w:sz w:val="24"/>
                <w:szCs w:val="24"/>
              </w:rPr>
            </w:pPr>
            <w:r>
              <w:t>Bank of America</w:t>
            </w:r>
          </w:p>
        </w:tc>
        <w:tc>
          <w:tcPr>
            <w:tcW w:w="2254" w:type="dxa"/>
          </w:tcPr>
          <w:p w14:paraId="4AACCC6D" w14:textId="29FEFCB4" w:rsidR="00C76A8E" w:rsidRDefault="00BB28CF" w:rsidP="00BA53CF">
            <w:pPr>
              <w:rPr>
                <w:color w:val="000000" w:themeColor="text1"/>
                <w:sz w:val="24"/>
                <w:szCs w:val="24"/>
              </w:rPr>
            </w:pPr>
            <w:r w:rsidRPr="00BB28CF">
              <w:rPr>
                <w:color w:val="000000" w:themeColor="text1"/>
                <w:sz w:val="24"/>
                <w:szCs w:val="24"/>
              </w:rPr>
              <w:t>16,000</w:t>
            </w:r>
          </w:p>
        </w:tc>
        <w:tc>
          <w:tcPr>
            <w:tcW w:w="2254" w:type="dxa"/>
          </w:tcPr>
          <w:p w14:paraId="622B600A" w14:textId="3A905A06" w:rsidR="00C76A8E" w:rsidRDefault="00BB28CF" w:rsidP="00BA53CF">
            <w:pPr>
              <w:rPr>
                <w:color w:val="000000" w:themeColor="text1"/>
                <w:sz w:val="24"/>
                <w:szCs w:val="24"/>
              </w:rPr>
            </w:pPr>
            <w:r w:rsidRPr="00BB28CF">
              <w:rPr>
                <w:color w:val="000000" w:themeColor="text1"/>
                <w:sz w:val="24"/>
                <w:szCs w:val="24"/>
              </w:rPr>
              <w:t>$97.3 billion</w:t>
            </w:r>
          </w:p>
        </w:tc>
        <w:tc>
          <w:tcPr>
            <w:tcW w:w="2254" w:type="dxa"/>
          </w:tcPr>
          <w:p w14:paraId="351055CC" w14:textId="077642B7" w:rsidR="00C76A8E" w:rsidRDefault="00BB28CF" w:rsidP="00BA53CF">
            <w:pPr>
              <w:rPr>
                <w:color w:val="000000" w:themeColor="text1"/>
                <w:sz w:val="24"/>
                <w:szCs w:val="24"/>
              </w:rPr>
            </w:pPr>
            <w:r w:rsidRPr="00BB28CF">
              <w:rPr>
                <w:color w:val="000000" w:themeColor="text1"/>
                <w:sz w:val="24"/>
                <w:szCs w:val="24"/>
              </w:rPr>
              <w:t>$28.1 billion</w:t>
            </w:r>
          </w:p>
        </w:tc>
      </w:tr>
      <w:tr w:rsidR="00C76A8E" w14:paraId="0D9E8F52" w14:textId="77777777" w:rsidTr="00C76A8E">
        <w:tc>
          <w:tcPr>
            <w:tcW w:w="2254" w:type="dxa"/>
          </w:tcPr>
          <w:p w14:paraId="0C3F5C8D" w14:textId="4C7306EC" w:rsidR="00C76A8E" w:rsidRDefault="00C76A8E" w:rsidP="00BA53CF">
            <w:pPr>
              <w:rPr>
                <w:color w:val="000000" w:themeColor="text1"/>
                <w:sz w:val="24"/>
                <w:szCs w:val="24"/>
              </w:rPr>
            </w:pPr>
            <w:r w:rsidRPr="00C76A8E">
              <w:rPr>
                <w:color w:val="000000" w:themeColor="text1"/>
                <w:sz w:val="24"/>
                <w:szCs w:val="24"/>
              </w:rPr>
              <w:t>US Bank (U.S. Bancorp)</w:t>
            </w:r>
          </w:p>
        </w:tc>
        <w:tc>
          <w:tcPr>
            <w:tcW w:w="2254" w:type="dxa"/>
          </w:tcPr>
          <w:p w14:paraId="75CE4F9B" w14:textId="09326DA1" w:rsidR="00C76A8E" w:rsidRDefault="00BB28CF" w:rsidP="00BA53CF">
            <w:pPr>
              <w:rPr>
                <w:color w:val="000000" w:themeColor="text1"/>
                <w:sz w:val="24"/>
                <w:szCs w:val="24"/>
              </w:rPr>
            </w:pPr>
            <w:r w:rsidRPr="00BB28CF">
              <w:rPr>
                <w:color w:val="000000" w:themeColor="text1"/>
                <w:sz w:val="24"/>
                <w:szCs w:val="24"/>
              </w:rPr>
              <w:t>4,700</w:t>
            </w:r>
          </w:p>
        </w:tc>
        <w:tc>
          <w:tcPr>
            <w:tcW w:w="2254" w:type="dxa"/>
          </w:tcPr>
          <w:p w14:paraId="06D0EAF8" w14:textId="6D7C84CB" w:rsidR="00C76A8E" w:rsidRDefault="00BB28CF" w:rsidP="00BA53CF">
            <w:pPr>
              <w:rPr>
                <w:color w:val="000000" w:themeColor="text1"/>
                <w:sz w:val="24"/>
                <w:szCs w:val="24"/>
              </w:rPr>
            </w:pPr>
            <w:r w:rsidRPr="00BB28CF">
              <w:rPr>
                <w:color w:val="000000" w:themeColor="text1"/>
                <w:sz w:val="24"/>
                <w:szCs w:val="24"/>
              </w:rPr>
              <w:t>$25.6 billion</w:t>
            </w:r>
          </w:p>
        </w:tc>
        <w:tc>
          <w:tcPr>
            <w:tcW w:w="2254" w:type="dxa"/>
          </w:tcPr>
          <w:p w14:paraId="17D2D0BD" w14:textId="6F23806B" w:rsidR="00C76A8E" w:rsidRDefault="00BB28CF" w:rsidP="00BA53CF">
            <w:pPr>
              <w:rPr>
                <w:color w:val="000000" w:themeColor="text1"/>
                <w:sz w:val="24"/>
                <w:szCs w:val="24"/>
              </w:rPr>
            </w:pPr>
            <w:r w:rsidRPr="00BB28CF">
              <w:rPr>
                <w:color w:val="000000" w:themeColor="text1"/>
                <w:sz w:val="24"/>
                <w:szCs w:val="24"/>
              </w:rPr>
              <w:t>$7.6 billion</w:t>
            </w:r>
          </w:p>
        </w:tc>
      </w:tr>
      <w:tr w:rsidR="00C76A8E" w14:paraId="21DEDEEC" w14:textId="77777777" w:rsidTr="00C76A8E">
        <w:tc>
          <w:tcPr>
            <w:tcW w:w="2254" w:type="dxa"/>
          </w:tcPr>
          <w:p w14:paraId="16ECFA28" w14:textId="07445DAD" w:rsidR="00C76A8E" w:rsidRDefault="00BB28CF" w:rsidP="00BA53CF">
            <w:pPr>
              <w:rPr>
                <w:color w:val="000000" w:themeColor="text1"/>
                <w:sz w:val="24"/>
                <w:szCs w:val="24"/>
              </w:rPr>
            </w:pPr>
            <w:r w:rsidRPr="00BB28CF">
              <w:rPr>
                <w:color w:val="000000" w:themeColor="text1"/>
                <w:sz w:val="24"/>
                <w:szCs w:val="24"/>
              </w:rPr>
              <w:t>JP Morgan Chase &amp; Co.</w:t>
            </w:r>
          </w:p>
        </w:tc>
        <w:tc>
          <w:tcPr>
            <w:tcW w:w="2254" w:type="dxa"/>
          </w:tcPr>
          <w:p w14:paraId="1C45A14E" w14:textId="7C3E4D6D" w:rsidR="00C76A8E" w:rsidRDefault="00BB28CF" w:rsidP="00BA53CF">
            <w:pPr>
              <w:rPr>
                <w:color w:val="000000" w:themeColor="text1"/>
                <w:sz w:val="24"/>
                <w:szCs w:val="24"/>
              </w:rPr>
            </w:pPr>
            <w:r w:rsidRPr="00BB28CF">
              <w:rPr>
                <w:color w:val="000000" w:themeColor="text1"/>
                <w:sz w:val="24"/>
                <w:szCs w:val="24"/>
              </w:rPr>
              <w:t>16,000</w:t>
            </w:r>
          </w:p>
        </w:tc>
        <w:tc>
          <w:tcPr>
            <w:tcW w:w="2254" w:type="dxa"/>
          </w:tcPr>
          <w:p w14:paraId="3649FFD5" w14:textId="095C6073" w:rsidR="00C76A8E" w:rsidRDefault="00BB28CF" w:rsidP="00BA53CF">
            <w:pPr>
              <w:rPr>
                <w:color w:val="000000" w:themeColor="text1"/>
                <w:sz w:val="24"/>
                <w:szCs w:val="24"/>
              </w:rPr>
            </w:pPr>
            <w:r w:rsidRPr="00BB28CF">
              <w:rPr>
                <w:color w:val="000000" w:themeColor="text1"/>
                <w:sz w:val="24"/>
                <w:szCs w:val="24"/>
              </w:rPr>
              <w:t>$131.4 billion</w:t>
            </w:r>
          </w:p>
        </w:tc>
        <w:tc>
          <w:tcPr>
            <w:tcW w:w="2254" w:type="dxa"/>
          </w:tcPr>
          <w:p w14:paraId="4FE867B1" w14:textId="2B46E6CA" w:rsidR="00C76A8E" w:rsidRDefault="00BB28CF" w:rsidP="00BA53CF">
            <w:pPr>
              <w:rPr>
                <w:color w:val="000000" w:themeColor="text1"/>
                <w:sz w:val="24"/>
                <w:szCs w:val="24"/>
              </w:rPr>
            </w:pPr>
            <w:r w:rsidRPr="00BB28CF">
              <w:rPr>
                <w:color w:val="000000" w:themeColor="text1"/>
                <w:sz w:val="24"/>
                <w:szCs w:val="24"/>
              </w:rPr>
              <w:t>$48.3 billion</w:t>
            </w:r>
          </w:p>
        </w:tc>
      </w:tr>
      <w:tr w:rsidR="00C76A8E" w14:paraId="23FFDE87" w14:textId="77777777" w:rsidTr="00C76A8E">
        <w:tc>
          <w:tcPr>
            <w:tcW w:w="2254" w:type="dxa"/>
          </w:tcPr>
          <w:p w14:paraId="7E1AD39B" w14:textId="7F5FF1A2" w:rsidR="00C76A8E" w:rsidRDefault="00BB28CF" w:rsidP="00BA53CF">
            <w:pPr>
              <w:rPr>
                <w:color w:val="000000" w:themeColor="text1"/>
                <w:sz w:val="24"/>
                <w:szCs w:val="24"/>
              </w:rPr>
            </w:pPr>
            <w:r w:rsidRPr="00BB28CF">
              <w:rPr>
                <w:color w:val="000000" w:themeColor="text1"/>
                <w:sz w:val="24"/>
                <w:szCs w:val="24"/>
              </w:rPr>
              <w:t>Wells Fargo</w:t>
            </w:r>
          </w:p>
        </w:tc>
        <w:tc>
          <w:tcPr>
            <w:tcW w:w="2254" w:type="dxa"/>
          </w:tcPr>
          <w:p w14:paraId="6634D346" w14:textId="61586CE7" w:rsidR="00C76A8E" w:rsidRDefault="00BB28CF" w:rsidP="00BA53CF">
            <w:pPr>
              <w:rPr>
                <w:color w:val="000000" w:themeColor="text1"/>
                <w:sz w:val="24"/>
                <w:szCs w:val="24"/>
              </w:rPr>
            </w:pPr>
            <w:r w:rsidRPr="00BB28CF">
              <w:rPr>
                <w:color w:val="000000" w:themeColor="text1"/>
                <w:sz w:val="24"/>
                <w:szCs w:val="24"/>
              </w:rPr>
              <w:t>13,000</w:t>
            </w:r>
          </w:p>
        </w:tc>
        <w:tc>
          <w:tcPr>
            <w:tcW w:w="2254" w:type="dxa"/>
          </w:tcPr>
          <w:p w14:paraId="139A08E9" w14:textId="5AE8ECF4" w:rsidR="00C76A8E" w:rsidRDefault="00BB28CF" w:rsidP="00BA53CF">
            <w:pPr>
              <w:rPr>
                <w:color w:val="000000" w:themeColor="text1"/>
                <w:sz w:val="24"/>
                <w:szCs w:val="24"/>
              </w:rPr>
            </w:pPr>
            <w:r w:rsidRPr="00BB28CF">
              <w:rPr>
                <w:color w:val="000000" w:themeColor="text1"/>
                <w:sz w:val="24"/>
                <w:szCs w:val="24"/>
              </w:rPr>
              <w:t>$80.3 billion</w:t>
            </w:r>
          </w:p>
        </w:tc>
        <w:tc>
          <w:tcPr>
            <w:tcW w:w="2254" w:type="dxa"/>
          </w:tcPr>
          <w:p w14:paraId="17549C60" w14:textId="40FCAC0B" w:rsidR="00C76A8E" w:rsidRDefault="00BB28CF" w:rsidP="00BA53CF">
            <w:pPr>
              <w:rPr>
                <w:color w:val="000000" w:themeColor="text1"/>
                <w:sz w:val="24"/>
                <w:szCs w:val="24"/>
              </w:rPr>
            </w:pPr>
            <w:r w:rsidRPr="00BB28CF">
              <w:rPr>
                <w:color w:val="000000" w:themeColor="text1"/>
                <w:sz w:val="24"/>
                <w:szCs w:val="24"/>
              </w:rPr>
              <w:t>$21.8 billion</w:t>
            </w:r>
          </w:p>
        </w:tc>
      </w:tr>
    </w:tbl>
    <w:p w14:paraId="36318320" w14:textId="77777777" w:rsidR="00C76A8E" w:rsidRDefault="00C76A8E" w:rsidP="00BA53CF">
      <w:pPr>
        <w:rPr>
          <w:color w:val="000000" w:themeColor="text1"/>
          <w:sz w:val="24"/>
          <w:szCs w:val="24"/>
        </w:rPr>
      </w:pPr>
    </w:p>
    <w:p w14:paraId="3B7C1B54" w14:textId="77777777" w:rsidR="00BA53CF" w:rsidRPr="00BA53CF" w:rsidRDefault="00BA53CF" w:rsidP="00BA53CF">
      <w:pPr>
        <w:rPr>
          <w:b/>
          <w:bCs/>
          <w:color w:val="538135" w:themeColor="accent6" w:themeShade="BF"/>
          <w:sz w:val="28"/>
          <w:szCs w:val="28"/>
        </w:rPr>
      </w:pPr>
      <w:r w:rsidRPr="00BA53CF">
        <w:rPr>
          <w:b/>
          <w:bCs/>
          <w:color w:val="538135" w:themeColor="accent6" w:themeShade="BF"/>
          <w:sz w:val="28"/>
          <w:szCs w:val="28"/>
        </w:rPr>
        <w:t>How Does Retail Banking Work?</w:t>
      </w:r>
    </w:p>
    <w:p w14:paraId="1354858D" w14:textId="23313DEF" w:rsidR="00BA53CF" w:rsidRDefault="00BA53CF" w:rsidP="00BA53CF">
      <w:pPr>
        <w:rPr>
          <w:color w:val="000000" w:themeColor="text1"/>
          <w:sz w:val="24"/>
          <w:szCs w:val="24"/>
        </w:rPr>
      </w:pPr>
      <w:r w:rsidRPr="00BA53CF">
        <w:rPr>
          <w:color w:val="000000" w:themeColor="text1"/>
          <w:sz w:val="24"/>
          <w:szCs w:val="24"/>
        </w:rPr>
        <w:t>Many financial services companies aim to be the one-stop-shop retail banking destination to their individual consumers. Consumers expect a range of basic services from retail banks, such as checking accounts, savings accounts, personal loans, lines of credit, mortgages, debit cards, credit cards, and CDs.</w:t>
      </w:r>
    </w:p>
    <w:p w14:paraId="328414EE" w14:textId="1DFAD1F9" w:rsidR="00BA53CF" w:rsidRDefault="00BA53CF" w:rsidP="00BA53CF">
      <w:pPr>
        <w:rPr>
          <w:color w:val="000000" w:themeColor="text1"/>
          <w:sz w:val="24"/>
          <w:szCs w:val="24"/>
        </w:rPr>
      </w:pPr>
      <w:r w:rsidRPr="00BA53CF">
        <w:rPr>
          <w:color w:val="000000" w:themeColor="text1"/>
          <w:sz w:val="24"/>
          <w:szCs w:val="24"/>
        </w:rPr>
        <w:t>One of the biggest trends in retail banking today is the shift to mobile and online banking. Specifically, banks are adding more tools and features, such as the ability to put temporary holds on cards, view recurring charges, or scan a fingerprint to log into an account, to retain their existing customers and attract new ones.</w:t>
      </w:r>
    </w:p>
    <w:p w14:paraId="06D549B6" w14:textId="77777777" w:rsidR="00BB28CF" w:rsidRDefault="00BB28CF" w:rsidP="00BA53CF">
      <w:pPr>
        <w:rPr>
          <w:color w:val="000000" w:themeColor="text1"/>
          <w:sz w:val="24"/>
          <w:szCs w:val="24"/>
        </w:rPr>
      </w:pPr>
    </w:p>
    <w:p w14:paraId="30795BBB" w14:textId="6E2CEF0C" w:rsidR="00BB28CF" w:rsidRDefault="00BB28CF" w:rsidP="00BB28CF">
      <w:pPr>
        <w:jc w:val="center"/>
        <w:rPr>
          <w:b/>
          <w:bCs/>
          <w:color w:val="2E74B5" w:themeColor="accent5" w:themeShade="BF"/>
          <w:sz w:val="32"/>
          <w:szCs w:val="32"/>
          <w:u w:val="single"/>
        </w:rPr>
      </w:pPr>
      <w:r w:rsidRPr="00BB28CF">
        <w:rPr>
          <w:b/>
          <w:bCs/>
          <w:color w:val="2E74B5" w:themeColor="accent5" w:themeShade="BF"/>
          <w:sz w:val="32"/>
          <w:szCs w:val="32"/>
          <w:u w:val="single"/>
        </w:rPr>
        <w:t>Volcker Rule</w:t>
      </w:r>
    </w:p>
    <w:p w14:paraId="0B60BA36" w14:textId="1F38F13C" w:rsidR="00BB28CF" w:rsidRDefault="007A185F" w:rsidP="00BB28CF">
      <w:pPr>
        <w:rPr>
          <w:color w:val="000000" w:themeColor="text1"/>
          <w:sz w:val="24"/>
          <w:szCs w:val="24"/>
        </w:rPr>
      </w:pPr>
      <w:r w:rsidRPr="007A185F">
        <w:rPr>
          <w:color w:val="000000" w:themeColor="text1"/>
          <w:sz w:val="24"/>
          <w:szCs w:val="24"/>
        </w:rPr>
        <w:t>The Volcker Rule generally restricts banking entities from engaging in proprietary trading and from owning, sponsoring, or having certain relationships with a hedge fund or private equity fund.</w:t>
      </w:r>
    </w:p>
    <w:p w14:paraId="4445A6C9" w14:textId="77777777" w:rsidR="007A185F" w:rsidRPr="007A185F" w:rsidRDefault="007A185F" w:rsidP="007A185F">
      <w:pPr>
        <w:rPr>
          <w:color w:val="000000" w:themeColor="text1"/>
          <w:sz w:val="24"/>
          <w:szCs w:val="24"/>
        </w:rPr>
      </w:pPr>
      <w:r w:rsidRPr="007A185F">
        <w:rPr>
          <w:color w:val="000000" w:themeColor="text1"/>
          <w:sz w:val="24"/>
          <w:szCs w:val="24"/>
        </w:rPr>
        <w:lastRenderedPageBreak/>
        <w:t>A bank that does not have (and is not controlled by a company that has) more than $10 billion in total consolidated assets and does not have (and is not controlled by a company that has) total trading assets and liabilities of 5 percent or more of total consolidated assets is excluded from the Volcker Rule.</w:t>
      </w:r>
    </w:p>
    <w:p w14:paraId="5DF769FC" w14:textId="77777777" w:rsidR="007A185F" w:rsidRPr="007A185F" w:rsidRDefault="007A185F" w:rsidP="007A185F">
      <w:pPr>
        <w:rPr>
          <w:b/>
          <w:bCs/>
          <w:color w:val="000000" w:themeColor="text1"/>
          <w:sz w:val="24"/>
          <w:szCs w:val="24"/>
        </w:rPr>
      </w:pPr>
      <w:r w:rsidRPr="007A185F">
        <w:rPr>
          <w:b/>
          <w:bCs/>
          <w:color w:val="000000" w:themeColor="text1"/>
          <w:sz w:val="24"/>
          <w:szCs w:val="24"/>
        </w:rPr>
        <w:t>Laws and Regulations</w:t>
      </w:r>
    </w:p>
    <w:p w14:paraId="77A9D869" w14:textId="77777777" w:rsidR="007A185F" w:rsidRPr="007A185F" w:rsidRDefault="007A185F" w:rsidP="007A185F">
      <w:pPr>
        <w:rPr>
          <w:color w:val="000000" w:themeColor="text1"/>
          <w:sz w:val="24"/>
          <w:szCs w:val="24"/>
        </w:rPr>
      </w:pPr>
      <w:r w:rsidRPr="007A185F">
        <w:rPr>
          <w:color w:val="000000" w:themeColor="text1"/>
          <w:sz w:val="24"/>
          <w:szCs w:val="24"/>
        </w:rPr>
        <w:t>Key laws and regulations that pertain to FDIC-supervised institutions; note that other laws and regulations also may apply.</w:t>
      </w:r>
    </w:p>
    <w:p w14:paraId="49E03B9D" w14:textId="77777777" w:rsidR="007A185F" w:rsidRPr="007A185F" w:rsidRDefault="007A185F" w:rsidP="007A185F">
      <w:pPr>
        <w:rPr>
          <w:color w:val="000000" w:themeColor="text1"/>
          <w:sz w:val="24"/>
          <w:szCs w:val="24"/>
        </w:rPr>
      </w:pPr>
    </w:p>
    <w:p w14:paraId="3A5BDF76" w14:textId="77777777" w:rsidR="007A185F" w:rsidRPr="007A185F" w:rsidRDefault="007A185F" w:rsidP="007A185F">
      <w:pPr>
        <w:rPr>
          <w:color w:val="000000" w:themeColor="text1"/>
          <w:sz w:val="24"/>
          <w:szCs w:val="24"/>
        </w:rPr>
      </w:pPr>
      <w:r w:rsidRPr="007A185F">
        <w:rPr>
          <w:color w:val="000000" w:themeColor="text1"/>
          <w:sz w:val="24"/>
          <w:szCs w:val="24"/>
        </w:rPr>
        <w:t xml:space="preserve">Part 351 — Proprietary Trading and Certain Interests </w:t>
      </w:r>
      <w:proofErr w:type="gramStart"/>
      <w:r w:rsidRPr="007A185F">
        <w:rPr>
          <w:color w:val="000000" w:themeColor="text1"/>
          <w:sz w:val="24"/>
          <w:szCs w:val="24"/>
        </w:rPr>
        <w:t>In</w:t>
      </w:r>
      <w:proofErr w:type="gramEnd"/>
      <w:r w:rsidRPr="007A185F">
        <w:rPr>
          <w:color w:val="000000" w:themeColor="text1"/>
          <w:sz w:val="24"/>
          <w:szCs w:val="24"/>
        </w:rPr>
        <w:t xml:space="preserve"> and Relationships With Covered Funds implements Section 13 of the Bank Holding Company Act, also known as the Volcker Rule, which addresses prohibitions and restrictions on proprietary trading and investment in, or relationships with, covered funds</w:t>
      </w:r>
    </w:p>
    <w:p w14:paraId="71987B25" w14:textId="77777777" w:rsidR="007A185F" w:rsidRPr="007A185F" w:rsidRDefault="007A185F" w:rsidP="007A185F">
      <w:pPr>
        <w:rPr>
          <w:color w:val="000000" w:themeColor="text1"/>
          <w:sz w:val="24"/>
          <w:szCs w:val="24"/>
        </w:rPr>
      </w:pPr>
      <w:r w:rsidRPr="007A185F">
        <w:rPr>
          <w:color w:val="000000" w:themeColor="text1"/>
          <w:sz w:val="24"/>
          <w:szCs w:val="24"/>
        </w:rPr>
        <w:t>Relevant Federal Register Notices incorporated into Part 351 that describe the basis and purpose of the rule and its revisions</w:t>
      </w:r>
    </w:p>
    <w:p w14:paraId="01B92D03" w14:textId="77777777" w:rsidR="007A185F" w:rsidRPr="007A185F" w:rsidRDefault="007A185F" w:rsidP="007A185F">
      <w:pPr>
        <w:rPr>
          <w:color w:val="000000" w:themeColor="text1"/>
          <w:sz w:val="24"/>
          <w:szCs w:val="24"/>
        </w:rPr>
      </w:pPr>
      <w:r w:rsidRPr="007A185F">
        <w:rPr>
          <w:color w:val="000000" w:themeColor="text1"/>
          <w:sz w:val="24"/>
          <w:szCs w:val="24"/>
        </w:rPr>
        <w:t>Revisions to Modify and Clarify the Covered Fund Provisions of the Volcker Rule</w:t>
      </w:r>
    </w:p>
    <w:p w14:paraId="3800753A" w14:textId="77777777" w:rsidR="007A185F" w:rsidRPr="007A185F" w:rsidRDefault="007A185F" w:rsidP="007A185F">
      <w:pPr>
        <w:rPr>
          <w:color w:val="000000" w:themeColor="text1"/>
          <w:sz w:val="24"/>
          <w:szCs w:val="24"/>
        </w:rPr>
      </w:pPr>
      <w:r w:rsidRPr="007A185F">
        <w:rPr>
          <w:color w:val="000000" w:themeColor="text1"/>
          <w:sz w:val="24"/>
          <w:szCs w:val="24"/>
        </w:rPr>
        <w:t>Revisions to Tailor and Simplify the Proprietary Trading and Compliance Provisions of the Volcker Rule</w:t>
      </w:r>
    </w:p>
    <w:p w14:paraId="049E0133" w14:textId="77777777" w:rsidR="007A185F" w:rsidRPr="007A185F" w:rsidRDefault="007A185F" w:rsidP="007A185F">
      <w:pPr>
        <w:rPr>
          <w:color w:val="000000" w:themeColor="text1"/>
          <w:sz w:val="24"/>
          <w:szCs w:val="24"/>
        </w:rPr>
      </w:pPr>
      <w:r w:rsidRPr="007A185F">
        <w:rPr>
          <w:color w:val="000000" w:themeColor="text1"/>
          <w:sz w:val="24"/>
          <w:szCs w:val="24"/>
        </w:rPr>
        <w:t>Revisions to Exclude Community Banks from the Volcker Rule</w:t>
      </w:r>
    </w:p>
    <w:p w14:paraId="09E8F230" w14:textId="3CA0C4D0" w:rsidR="007A185F" w:rsidRPr="00BB28CF" w:rsidRDefault="007A185F" w:rsidP="007A185F">
      <w:pPr>
        <w:rPr>
          <w:color w:val="000000" w:themeColor="text1"/>
          <w:sz w:val="24"/>
          <w:szCs w:val="24"/>
        </w:rPr>
      </w:pPr>
      <w:r w:rsidRPr="007A185F">
        <w:rPr>
          <w:color w:val="000000" w:themeColor="text1"/>
          <w:sz w:val="24"/>
          <w:szCs w:val="24"/>
        </w:rPr>
        <w:t>Prohibitions and Restrictions on Proprietary Trading and Certain Interests in, and Relationships With, Hedge Funds and Private Equity Funds</w:t>
      </w:r>
    </w:p>
    <w:p w14:paraId="47078665" w14:textId="77777777" w:rsidR="00BB28CF" w:rsidRDefault="00BB28CF" w:rsidP="007A185F">
      <w:pPr>
        <w:rPr>
          <w:sz w:val="24"/>
          <w:szCs w:val="24"/>
        </w:rPr>
      </w:pPr>
    </w:p>
    <w:p w14:paraId="7927B34B" w14:textId="77777777" w:rsidR="001F1F62" w:rsidRPr="001F1F62" w:rsidRDefault="001F1F62" w:rsidP="001F1F62">
      <w:pPr>
        <w:rPr>
          <w:sz w:val="24"/>
          <w:szCs w:val="24"/>
        </w:rPr>
      </w:pPr>
      <w:r w:rsidRPr="001F1F62">
        <w:rPr>
          <w:sz w:val="24"/>
          <w:szCs w:val="24"/>
        </w:rPr>
        <w:t xml:space="preserve">The Volcker Rule refers to Sec 619 of the Dodd-Frank Act, which prohibits banks from engaging in proprietary trading, or from using their depositors’ funds to invest in risky investment instruments. The rule also prohibits banks from owning or investing in hedge funds or private equity funds. </w:t>
      </w:r>
    </w:p>
    <w:p w14:paraId="03162CA0" w14:textId="77777777" w:rsidR="001F1F62" w:rsidRPr="001F1F62" w:rsidRDefault="001F1F62" w:rsidP="001F1F62">
      <w:pPr>
        <w:rPr>
          <w:sz w:val="24"/>
          <w:szCs w:val="24"/>
        </w:rPr>
      </w:pPr>
    </w:p>
    <w:p w14:paraId="0ACFA813" w14:textId="04BAAAA7" w:rsidR="001F1F62" w:rsidRDefault="001F1F62" w:rsidP="001F1F62">
      <w:pPr>
        <w:rPr>
          <w:sz w:val="24"/>
          <w:szCs w:val="24"/>
        </w:rPr>
      </w:pPr>
      <w:r w:rsidRPr="001F1F62">
        <w:rPr>
          <w:sz w:val="24"/>
          <w:szCs w:val="24"/>
        </w:rPr>
        <w:t>Before the 2008 financial crisis, banks engaged in speculative trading using their depositors’ accounts, which led to the collapse of several banks and loss of depositor funds. The rule was preceded by the Glass-Steagall Act of 1933, which was introduced during the Great Depression.</w:t>
      </w:r>
    </w:p>
    <w:p w14:paraId="6F5A4A40" w14:textId="7BD912E9" w:rsidR="001F1F62" w:rsidRPr="007A185F" w:rsidRDefault="001F1F62" w:rsidP="001F1F62">
      <w:pPr>
        <w:rPr>
          <w:sz w:val="24"/>
          <w:szCs w:val="24"/>
        </w:rPr>
      </w:pPr>
      <w:r w:rsidRPr="001F1F62">
        <w:rPr>
          <w:sz w:val="24"/>
          <w:szCs w:val="24"/>
        </w:rPr>
        <w:t>The Volcker Rule is part of the Dodd-Frank Act that was approved by Congress in July 2010. The Act was to be implemented in 2010 but its implementation was delayed until 2013. The final Dodd-Frank Act was approved in December 2014 by the Federal Reserve, Federal Deposit Insurance Corporation, Securities and Exchange Commission, Office of Comptroller of Currency and the Commodity Futures Trading Commission.</w:t>
      </w:r>
    </w:p>
    <w:sectPr w:rsidR="001F1F62" w:rsidRPr="007A1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A1"/>
    <w:rsid w:val="00032FC4"/>
    <w:rsid w:val="001A29A1"/>
    <w:rsid w:val="001F1F62"/>
    <w:rsid w:val="005969BB"/>
    <w:rsid w:val="007A185F"/>
    <w:rsid w:val="00BA53CF"/>
    <w:rsid w:val="00BB28CF"/>
    <w:rsid w:val="00C76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C793"/>
  <w15:chartTrackingRefBased/>
  <w15:docId w15:val="{D664AF71-9017-4071-A3D0-2DCF4B80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8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2</cp:revision>
  <dcterms:created xsi:type="dcterms:W3CDTF">2024-06-16T08:25:00Z</dcterms:created>
  <dcterms:modified xsi:type="dcterms:W3CDTF">2024-06-16T12:10:00Z</dcterms:modified>
</cp:coreProperties>
</file>