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Demaze AI Outbound Intelligence Platform</w:t>
      </w:r>
    </w:p>
    <w:p>
      <w:pPr>
        <w:spacing w:after="100"/>
        <w:jc w:val="center"/>
      </w:pPr>
      <w:r>
        <w:rPr>
          <w:color w:val="444444"/>
          <w:sz w:val="30"/>
          <w:szCs w:val="30"/>
        </w:rPr>
        <w:t xml:space="preserve">Project Status Report</w:t>
      </w:r>
    </w:p>
    <w:p>
      <w:pPr>
        <w:spacing w:after="800"/>
        <w:jc w:val="center"/>
      </w:pPr>
      <w:r>
        <w:rPr>
          <w:color w:val="777777"/>
          <w:sz w:val="22"/>
          <w:szCs w:val="22"/>
        </w:rPr>
        <w:t xml:space="preserve">July 12, 2026</w:t>
      </w:r>
    </w:p>
    <w:p>
      <w:pPr>
        <w:jc w:val="center"/>
      </w:pPr>
      <w:r>
        <w:rPr>
          <w:i/>
          <w:iCs/>
          <w:color w:val="888888"/>
          <w:sz w:val="18"/>
          <w:szCs w:val="18"/>
        </w:rPr>
        <w:t xml:space="preserve">20 commits · ~13,700 lines of code · 6-company benchmark set · 17 passing unit tests</w:t>
      </w:r>
    </w:p>
    <w:p>
      <w:r>
        <w:br w:type="page"/>
      </w:r>
    </w:p>
    <w:p>
      <w:pPr>
        <w:pStyle w:val="Heading1"/>
        <w:spacing w:after="200" w:before="400"/>
      </w:pPr>
      <w:r>
        <w:t xml:space="preserve">Executive Summary</w:t>
      </w:r>
    </w:p>
    <w:p>
      <w:pPr>
        <w:spacing w:after="160"/>
      </w:pPr>
      <w:r>
        <w:t xml:space="preserve">The Demaze AI Outbound Intelligence Platform is a company-research engine built to support Demaze’s outbound sales process. Given a company — already identified as a lead by something upstream, with a named buyer and title already attached to the row — the system finds and verifies the company’s website, scrapes and cross-references public information about it, classifies its business, identifies real operational pain points, and matches those against Demaze’s actual service offerings. The output is a short, evidence-backed research brief a salesperson can act on immediately.</w:t>
      </w:r>
    </w:p>
    <w:p>
      <w:pPr>
        <w:spacing w:after="160"/>
      </w:pPr>
      <w:r>
        <w:t xml:space="preserve">This is deliberately narrow in scope. It is not a lead-discovery tool, not a website analyzer, and it does not touch email-finding, email generation, or sending — those are explicitly out of scope, described in detail in Section 8. What it does, it aims to do well: turn "here’s a company and a name" into "here’s why this company is worth calling, and what to say."</w:t>
      </w:r>
    </w:p>
    <w:p>
      <w:pPr>
        <w:spacing w:after="160"/>
      </w:pPr>
      <w:r>
        <w:t xml:space="preserve">As of this report, the core research pipeline is functional end-to-end, has been benchmarked against 6 target companies, and has a batch-upload workflow that lets a salesperson upload a real lead-list export (xlsx/csv/docx/pdf) and research multiple companies in one sequential run. The most recent architectural change — running external research in parallel with website scraping instead of after it — was measured to cut total research time per company by roughly 20–22% on a real, non-cached run.</w:t>
      </w:r>
    </w:p>
    <w:p>
      <w:pPr>
        <w:pStyle w:val="Heading2"/>
        <w:spacing w:after="150" w:before="300"/>
      </w:pPr>
      <w:r>
        <w:t xml:space="preserve">At a glance</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6800"/>
      </w:tblGrid>
      <w:tr>
        <w:trPr>
          <w:tblHeader/>
        </w:trPr>
        <w:tc>
          <w:tcPr>
            <w:tcW w:type="dxa" w:w="3200"/>
            <w:shd w:fill="DDE6F5" w:val="clear"/>
            <w:tcMar>
              <w:top w:type="dxa" w:w="80"/>
              <w:left w:type="dxa" w:w="100"/>
              <w:bottom w:type="dxa" w:w="80"/>
              <w:right w:type="dxa" w:w="100"/>
            </w:tcMar>
          </w:tcPr>
          <w:p>
            <w:pPr>
              <w:jc w:val="left"/>
            </w:pPr>
            <w:r>
              <w:rPr>
                <w:b/>
                <w:bCs/>
                <w:sz w:val="20"/>
                <w:szCs w:val="20"/>
              </w:rPr>
              <w:t xml:space="preserve">Item</w:t>
            </w:r>
          </w:p>
        </w:tc>
        <w:tc>
          <w:tcPr>
            <w:tcW w:type="dxa" w:w="6800"/>
            <w:shd w:fill="DDE6F5" w:val="clear"/>
            <w:tcMar>
              <w:top w:type="dxa" w:w="80"/>
              <w:left w:type="dxa" w:w="100"/>
              <w:bottom w:type="dxa" w:w="80"/>
              <w:right w:type="dxa" w:w="100"/>
            </w:tcMar>
          </w:tcPr>
          <w:p>
            <w:pPr>
              <w:jc w:val="left"/>
            </w:pPr>
            <w:r>
              <w:rPr>
                <w:b/>
                <w:bCs/>
                <w:sz w:val="20"/>
                <w:szCs w:val="20"/>
              </w:rPr>
              <w:t xml:space="preserve">Status</w:t>
            </w:r>
          </w:p>
        </w:tc>
      </w:tr>
      <w:tr>
        <w:tc>
          <w:tcPr>
            <w:tcW w:type="dxa" w:w="3200"/>
            <w:tcMar>
              <w:top w:type="dxa" w:w="80"/>
              <w:left w:type="dxa" w:w="100"/>
              <w:bottom w:type="dxa" w:w="80"/>
              <w:right w:type="dxa" w:w="100"/>
            </w:tcMar>
          </w:tcPr>
          <w:p>
            <w:pPr>
              <w:jc w:val="left"/>
            </w:pPr>
            <w:r>
              <w:rPr>
                <w:b w:val="false"/>
                <w:bCs w:val="false"/>
                <w:sz w:val="20"/>
                <w:szCs w:val="20"/>
              </w:rPr>
              <w:t xml:space="preserve">Core 4-step pipeline (find website → enrich → find problem → AI research)</w:t>
            </w:r>
          </w:p>
        </w:tc>
        <w:tc>
          <w:tcPr>
            <w:tcW w:type="dxa" w:w="6800"/>
            <w:tcMar>
              <w:top w:type="dxa" w:w="80"/>
              <w:left w:type="dxa" w:w="100"/>
              <w:bottom w:type="dxa" w:w="80"/>
              <w:right w:type="dxa" w:w="100"/>
            </w:tcMar>
          </w:tcPr>
          <w:p>
            <w:pPr>
              <w:jc w:val="left"/>
            </w:pPr>
            <w:r>
              <w:rPr>
                <w:b w:val="false"/>
                <w:bCs w:val="false"/>
                <w:sz w:val="20"/>
                <w:szCs w:val="20"/>
              </w:rPr>
              <w:t xml:space="preserve">Built and working</w:t>
            </w:r>
          </w:p>
        </w:tc>
      </w:tr>
      <w:tr>
        <w:tc>
          <w:tcPr>
            <w:tcW w:type="dxa" w:w="3200"/>
            <w:tcMar>
              <w:top w:type="dxa" w:w="80"/>
              <w:left w:type="dxa" w:w="100"/>
              <w:bottom w:type="dxa" w:w="80"/>
              <w:right w:type="dxa" w:w="100"/>
            </w:tcMar>
          </w:tcPr>
          <w:p>
            <w:pPr>
              <w:jc w:val="left"/>
            </w:pPr>
            <w:r>
              <w:rPr>
                <w:b w:val="false"/>
                <w:bCs w:val="false"/>
                <w:sz w:val="20"/>
                <w:szCs w:val="20"/>
              </w:rPr>
              <w:t xml:space="preserve">Output schema</w:t>
            </w:r>
          </w:p>
        </w:tc>
        <w:tc>
          <w:tcPr>
            <w:tcW w:type="dxa" w:w="6800"/>
            <w:tcMar>
              <w:top w:type="dxa" w:w="80"/>
              <w:left w:type="dxa" w:w="100"/>
              <w:bottom w:type="dxa" w:w="80"/>
              <w:right w:type="dxa" w:w="100"/>
            </w:tcMar>
          </w:tcPr>
          <w:p>
            <w:pPr>
              <w:jc w:val="left"/>
            </w:pPr>
            <w:r>
              <w:rPr>
                <w:b w:val="false"/>
                <w:bCs w:val="false"/>
                <w:sz w:val="20"/>
                <w:szCs w:val="20"/>
              </w:rPr>
              <w:t xml:space="preserve">Locked — 5 fields, no buyer/contact field</w:t>
            </w:r>
          </w:p>
        </w:tc>
      </w:tr>
      <w:tr>
        <w:tc>
          <w:tcPr>
            <w:tcW w:type="dxa" w:w="3200"/>
            <w:tcMar>
              <w:top w:type="dxa" w:w="80"/>
              <w:left w:type="dxa" w:w="100"/>
              <w:bottom w:type="dxa" w:w="80"/>
              <w:right w:type="dxa" w:w="100"/>
            </w:tcMar>
          </w:tcPr>
          <w:p>
            <w:pPr>
              <w:jc w:val="left"/>
            </w:pPr>
            <w:r>
              <w:rPr>
                <w:b w:val="false"/>
                <w:bCs w:val="false"/>
                <w:sz w:val="20"/>
                <w:szCs w:val="20"/>
              </w:rPr>
              <w:t xml:space="preserve">Website discovery from company name only</w:t>
            </w:r>
          </w:p>
        </w:tc>
        <w:tc>
          <w:tcPr>
            <w:tcW w:type="dxa" w:w="6800"/>
            <w:tcMar>
              <w:top w:type="dxa" w:w="80"/>
              <w:left w:type="dxa" w:w="100"/>
              <w:bottom w:type="dxa" w:w="80"/>
              <w:right w:type="dxa" w:w="100"/>
            </w:tcMar>
          </w:tcPr>
          <w:p>
            <w:pPr>
              <w:jc w:val="left"/>
            </w:pPr>
            <w:r>
              <w:rPr>
                <w:b w:val="false"/>
                <w:bCs w:val="false"/>
                <w:sz w:val="20"/>
                <w:szCs w:val="20"/>
              </w:rPr>
              <w:t xml:space="preserve">Built, verified, honest about ambiguity</w:t>
            </w:r>
          </w:p>
        </w:tc>
      </w:tr>
      <w:tr>
        <w:tc>
          <w:tcPr>
            <w:tcW w:type="dxa" w:w="3200"/>
            <w:tcMar>
              <w:top w:type="dxa" w:w="80"/>
              <w:left w:type="dxa" w:w="100"/>
              <w:bottom w:type="dxa" w:w="80"/>
              <w:right w:type="dxa" w:w="100"/>
            </w:tcMar>
          </w:tcPr>
          <w:p>
            <w:pPr>
              <w:jc w:val="left"/>
            </w:pPr>
            <w:r>
              <w:rPr>
                <w:b w:val="false"/>
                <w:bCs w:val="false"/>
                <w:sz w:val="20"/>
                <w:szCs w:val="20"/>
              </w:rPr>
              <w:t xml:space="preserve">Parallel enrichment (this session’s work)</w:t>
            </w:r>
          </w:p>
        </w:tc>
        <w:tc>
          <w:tcPr>
            <w:tcW w:type="dxa" w:w="6800"/>
            <w:tcMar>
              <w:top w:type="dxa" w:w="80"/>
              <w:left w:type="dxa" w:w="100"/>
              <w:bottom w:type="dxa" w:w="80"/>
              <w:right w:type="dxa" w:w="100"/>
            </w:tcMar>
          </w:tcPr>
          <w:p>
            <w:pPr>
              <w:jc w:val="left"/>
            </w:pPr>
            <w:r>
              <w:rPr>
                <w:b w:val="false"/>
                <w:bCs w:val="false"/>
                <w:sz w:val="20"/>
                <w:szCs w:val="20"/>
              </w:rPr>
              <w:t xml:space="preserve">Built and measured — ~20–22% faster</w:t>
            </w:r>
          </w:p>
        </w:tc>
      </w:tr>
      <w:tr>
        <w:tc>
          <w:tcPr>
            <w:tcW w:type="dxa" w:w="3200"/>
            <w:tcMar>
              <w:top w:type="dxa" w:w="80"/>
              <w:left w:type="dxa" w:w="100"/>
              <w:bottom w:type="dxa" w:w="80"/>
              <w:right w:type="dxa" w:w="100"/>
            </w:tcMar>
          </w:tcPr>
          <w:p>
            <w:pPr>
              <w:jc w:val="left"/>
            </w:pPr>
            <w:r>
              <w:rPr>
                <w:b w:val="false"/>
                <w:bCs w:val="false"/>
                <w:sz w:val="20"/>
                <w:szCs w:val="20"/>
              </w:rPr>
              <w:t xml:space="preserve">Batch lead-list upload (xlsx/csv/docx/pdf)</w:t>
            </w:r>
          </w:p>
        </w:tc>
        <w:tc>
          <w:tcPr>
            <w:tcW w:type="dxa" w:w="6800"/>
            <w:tcMar>
              <w:top w:type="dxa" w:w="80"/>
              <w:left w:type="dxa" w:w="100"/>
              <w:bottom w:type="dxa" w:w="80"/>
              <w:right w:type="dxa" w:w="100"/>
            </w:tcMar>
          </w:tcPr>
          <w:p>
            <w:pPr>
              <w:jc w:val="left"/>
            </w:pPr>
            <w:r>
              <w:rPr>
                <w:b w:val="false"/>
                <w:bCs w:val="false"/>
                <w:sz w:val="20"/>
                <w:szCs w:val="20"/>
              </w:rPr>
              <w:t xml:space="preserve">Built and verified with a real live run</w:t>
            </w:r>
          </w:p>
        </w:tc>
      </w:tr>
      <w:tr>
        <w:tc>
          <w:tcPr>
            <w:tcW w:type="dxa" w:w="3200"/>
            <w:tcMar>
              <w:top w:type="dxa" w:w="80"/>
              <w:left w:type="dxa" w:w="100"/>
              <w:bottom w:type="dxa" w:w="80"/>
              <w:right w:type="dxa" w:w="100"/>
            </w:tcMar>
          </w:tcPr>
          <w:p>
            <w:pPr>
              <w:jc w:val="left"/>
            </w:pPr>
            <w:r>
              <w:rPr>
                <w:b w:val="false"/>
                <w:bCs w:val="false"/>
                <w:sz w:val="20"/>
                <w:szCs w:val="20"/>
              </w:rPr>
              <w:t xml:space="preserve">Automated test suite</w:t>
            </w:r>
          </w:p>
        </w:tc>
        <w:tc>
          <w:tcPr>
            <w:tcW w:type="dxa" w:w="6800"/>
            <w:tcMar>
              <w:top w:type="dxa" w:w="80"/>
              <w:left w:type="dxa" w:w="100"/>
              <w:bottom w:type="dxa" w:w="80"/>
              <w:right w:type="dxa" w:w="100"/>
            </w:tcMar>
          </w:tcPr>
          <w:p>
            <w:pPr>
              <w:jc w:val="left"/>
            </w:pPr>
            <w:r>
              <w:rPr>
                <w:b w:val="false"/>
                <w:bCs w:val="false"/>
                <w:sz w:val="20"/>
                <w:szCs w:val="20"/>
              </w:rPr>
              <w:t xml:space="preserve">Introduced this session — 17 passing tests</w:t>
            </w:r>
          </w:p>
        </w:tc>
      </w:tr>
      <w:tr>
        <w:tc>
          <w:tcPr>
            <w:tcW w:type="dxa" w:w="3200"/>
            <w:tcMar>
              <w:top w:type="dxa" w:w="80"/>
              <w:left w:type="dxa" w:w="100"/>
              <w:bottom w:type="dxa" w:w="80"/>
              <w:right w:type="dxa" w:w="100"/>
            </w:tcMar>
          </w:tcPr>
          <w:p>
            <w:pPr>
              <w:jc w:val="left"/>
            </w:pPr>
            <w:r>
              <w:rPr>
                <w:b w:val="false"/>
                <w:bCs w:val="false"/>
                <w:sz w:val="20"/>
                <w:szCs w:val="20"/>
              </w:rPr>
              <w:t xml:space="preserve">PDF source ingestion (annual reports, investor decks)</w:t>
            </w:r>
          </w:p>
        </w:tc>
        <w:tc>
          <w:tcPr>
            <w:tcW w:type="dxa" w:w="6800"/>
            <w:tcMar>
              <w:top w:type="dxa" w:w="80"/>
              <w:left w:type="dxa" w:w="100"/>
              <w:bottom w:type="dxa" w:w="80"/>
              <w:right w:type="dxa" w:w="100"/>
            </w:tcMar>
          </w:tcPr>
          <w:p>
            <w:pPr>
              <w:jc w:val="left"/>
            </w:pPr>
            <w:r>
              <w:rPr>
                <w:b w:val="false"/>
                <w:bCs w:val="false"/>
                <w:sz w:val="20"/>
                <w:szCs w:val="20"/>
              </w:rPr>
              <w:t xml:space="preserve">Not started — next planned item</w:t>
            </w:r>
          </w:p>
        </w:tc>
      </w:tr>
      <w:tr>
        <w:tc>
          <w:tcPr>
            <w:tcW w:type="dxa" w:w="3200"/>
            <w:tcMar>
              <w:top w:type="dxa" w:w="80"/>
              <w:left w:type="dxa" w:w="100"/>
              <w:bottom w:type="dxa" w:w="80"/>
              <w:right w:type="dxa" w:w="100"/>
            </w:tcMar>
          </w:tcPr>
          <w:p>
            <w:pPr>
              <w:jc w:val="left"/>
            </w:pPr>
            <w:r>
              <w:rPr>
                <w:b w:val="false"/>
                <w:bCs w:val="false"/>
                <w:sz w:val="20"/>
                <w:szCs w:val="20"/>
              </w:rPr>
              <w:t xml:space="preserve">Executive-change / investor-call targeted search</w:t>
            </w:r>
          </w:p>
        </w:tc>
        <w:tc>
          <w:tcPr>
            <w:tcW w:type="dxa" w:w="6800"/>
            <w:tcMar>
              <w:top w:type="dxa" w:w="80"/>
              <w:left w:type="dxa" w:w="100"/>
              <w:bottom w:type="dxa" w:w="80"/>
              <w:right w:type="dxa" w:w="100"/>
            </w:tcMar>
          </w:tcPr>
          <w:p>
            <w:pPr>
              <w:jc w:val="left"/>
            </w:pPr>
            <w:r>
              <w:rPr>
                <w:b w:val="false"/>
                <w:bCs w:val="false"/>
                <w:sz w:val="20"/>
                <w:szCs w:val="20"/>
              </w:rPr>
              <w:t xml:space="preserve">Not started — planned after PDF support</w:t>
            </w:r>
          </w:p>
        </w:tc>
      </w:tr>
      <w:tr>
        <w:tc>
          <w:tcPr>
            <w:tcW w:type="dxa" w:w="3200"/>
            <w:tcMar>
              <w:top w:type="dxa" w:w="80"/>
              <w:left w:type="dxa" w:w="100"/>
              <w:bottom w:type="dxa" w:w="80"/>
              <w:right w:type="dxa" w:w="100"/>
            </w:tcMar>
          </w:tcPr>
          <w:p>
            <w:pPr>
              <w:jc w:val="left"/>
            </w:pPr>
            <w:r>
              <w:rPr>
                <w:b w:val="false"/>
                <w:bCs w:val="false"/>
                <w:sz w:val="20"/>
                <w:szCs w:val="20"/>
              </w:rPr>
              <w:t xml:space="preserve">Buyer/contact selection, email-finding, send</w:t>
            </w:r>
          </w:p>
        </w:tc>
        <w:tc>
          <w:tcPr>
            <w:tcW w:type="dxa" w:w="6800"/>
            <w:tcMar>
              <w:top w:type="dxa" w:w="80"/>
              <w:left w:type="dxa" w:w="100"/>
              <w:bottom w:type="dxa" w:w="80"/>
              <w:right w:type="dxa" w:w="100"/>
            </w:tcMar>
          </w:tcPr>
          <w:p>
            <w:pPr>
              <w:jc w:val="left"/>
            </w:pPr>
            <w:r>
              <w:rPr>
                <w:b w:val="false"/>
                <w:bCs w:val="false"/>
                <w:sz w:val="20"/>
                <w:szCs w:val="20"/>
              </w:rPr>
              <w:t xml:space="preserve">Permanently out of scope, not deferred</w:t>
            </w:r>
          </w:p>
        </w:tc>
      </w:tr>
    </w:tbl>
    <w:p>
      <w:r>
        <w:br w:type="page"/>
      </w:r>
    </w:p>
    <w:p>
      <w:pPr>
        <w:pStyle w:val="Heading1"/>
        <w:spacing w:after="200" w:before="400"/>
      </w:pPr>
      <w:r>
        <w:t xml:space="preserve">1. What This Project Is</w:t>
      </w:r>
    </w:p>
    <w:p>
      <w:pPr>
        <w:spacing w:after="160"/>
      </w:pPr>
      <w:r>
        <w:t xml:space="preserve">Demaze’s real architecture, as this platform fits into it:</w:t>
      </w:r>
    </w:p>
    <w:p>
      <w:pPr>
        <w:pStyle w:val="ListParagraph"/>
        <w:numPr>
          <w:ilvl w:val="0"/>
          <w:numId w:val="2"/>
        </w:numPr>
        <w:spacing w:after="80"/>
      </w:pPr>
      <w:r>
        <w:t xml:space="preserve">A Sales Navigator export identifies a company AND a specific person + title at that company — this happens upstream, before this platform is ever involved.</w:t>
      </w:r>
    </w:p>
    <w:p>
      <w:pPr>
        <w:pStyle w:val="ListParagraph"/>
        <w:numPr>
          <w:ilvl w:val="0"/>
          <w:numId w:val="2"/>
        </w:numPr>
        <w:spacing w:after="80"/>
      </w:pPr>
      <w:r>
        <w:t xml:space="preserve">This platform’s job is exactly four steps: find the company’s website → enrich with public information → identify a real operational problem → produce AI-assisted research.</w:t>
      </w:r>
    </w:p>
    <w:p>
      <w:pPr>
        <w:pStyle w:val="ListParagraph"/>
        <w:numPr>
          <w:ilvl w:val="0"/>
          <w:numId w:val="2"/>
        </w:numPr>
        <w:spacing w:after="80"/>
      </w:pPr>
      <w:r>
        <w:t xml:space="preserve">Everything after that — finding the named person’s email, writing the outreach email, quality-checking it, sending it — happens downstream, in a different system, and is not built here.</w:t>
      </w:r>
    </w:p>
    <w:p>
      <w:pPr>
        <w:spacing w:after="160"/>
      </w:pPr>
      <w:r>
        <w:t xml:space="preserve">This boundary is treated as a hard rule in the codebase, not a soft guideline: buyer/contact ranking logic, email-finding, email generation, a QA agent, and a send mechanism have all been explicitly evaluated and rejected as future work for this platform. See Section 8.</w:t>
      </w:r>
    </w:p>
    <w:p>
      <w:pPr>
        <w:pStyle w:val="Heading2"/>
        <w:spacing w:after="150" w:before="300"/>
      </w:pPr>
      <w:r>
        <w:t xml:space="preserve">Target industries</w:t>
      </w:r>
    </w:p>
    <w:p>
      <w:pPr>
        <w:spacing w:after="160"/>
      </w:pPr>
      <w:r>
        <w:t xml:space="preserve">Manufacturing, Automotive, Industrial, SaaS, Financial Institutions, and SMBs.</w:t>
      </w:r>
    </w:p>
    <w:p>
      <w:pPr>
        <w:pStyle w:val="Heading2"/>
        <w:spacing w:after="150" w:before="300"/>
      </w:pPr>
      <w:r>
        <w:t xml:space="preserve">Why the company’s own website is not the whole story</w:t>
      </w:r>
    </w:p>
    <w:p>
      <w:pPr>
        <w:spacing w:after="160"/>
      </w:pPr>
      <w:r>
        <w:t xml:space="preserve">A meaningful part of this project’s value is that it does not stop at the company’s own site. A company’s named directors, executive changes, financial performance, investor-call commentary, operational pain points, and industry coverage are often findable through public sources without ever needing privileged access — and some of this is more useful for a sales conversation than anything on the company’s own homepage. This is the core argument for continuing to invest in the enrichment/research layer described in Section 4, rather than treating the company website as the sole source of truth.</w:t>
      </w:r>
    </w:p>
    <w:p>
      <w:pPr>
        <w:pStyle w:val="Heading1"/>
        <w:spacing w:after="200" w:before="400"/>
      </w:pPr>
      <w:r>
        <w:t xml:space="preserve">2. Demaze’s Service Lines (Business Ground Truth)</w:t>
      </w:r>
    </w:p>
    <w:p>
      <w:pPr>
        <w:spacing w:after="160"/>
      </w:pPr>
      <w:r>
        <w:t xml:space="preserve">The platform matches evidence found about a prospect against 8 confirmed Demaze service lines. These 8 are given directly (not inferred by this project) and represent the actual menu of things Demaze can be pitched for:</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600"/>
        <w:gridCol w:w="4200"/>
        <w:gridCol w:w="5200"/>
      </w:tblGrid>
      <w:tr>
        <w:trPr>
          <w:tblHeader/>
        </w:trPr>
        <w:tc>
          <w:tcPr>
            <w:tcW w:type="dxa" w:w="600"/>
            <w:shd w:fill="DDE6F5" w:val="clear"/>
            <w:tcMar>
              <w:top w:type="dxa" w:w="80"/>
              <w:left w:type="dxa" w:w="100"/>
              <w:bottom w:type="dxa" w:w="80"/>
              <w:right w:type="dxa" w:w="100"/>
            </w:tcMar>
          </w:tcPr>
          <w:p>
            <w:pPr>
              <w:jc w:val="left"/>
            </w:pPr>
            <w:r>
              <w:rPr>
                <w:b/>
                <w:bCs/>
                <w:sz w:val="20"/>
                <w:szCs w:val="20"/>
              </w:rPr>
              <w:t xml:space="preserve">#</w:t>
            </w:r>
          </w:p>
        </w:tc>
        <w:tc>
          <w:tcPr>
            <w:tcW w:type="dxa" w:w="4200"/>
            <w:shd w:fill="DDE6F5" w:val="clear"/>
            <w:tcMar>
              <w:top w:type="dxa" w:w="80"/>
              <w:left w:type="dxa" w:w="100"/>
              <w:bottom w:type="dxa" w:w="80"/>
              <w:right w:type="dxa" w:w="100"/>
            </w:tcMar>
          </w:tcPr>
          <w:p>
            <w:pPr>
              <w:jc w:val="left"/>
            </w:pPr>
            <w:r>
              <w:rPr>
                <w:b/>
                <w:bCs/>
                <w:sz w:val="20"/>
                <w:szCs w:val="20"/>
              </w:rPr>
              <w:t xml:space="preserve">Service line</w:t>
            </w:r>
          </w:p>
        </w:tc>
        <w:tc>
          <w:tcPr>
            <w:tcW w:type="dxa" w:w="5200"/>
            <w:shd w:fill="DDE6F5" w:val="clear"/>
            <w:tcMar>
              <w:top w:type="dxa" w:w="80"/>
              <w:left w:type="dxa" w:w="100"/>
              <w:bottom w:type="dxa" w:w="80"/>
              <w:right w:type="dxa" w:w="100"/>
            </w:tcMar>
          </w:tcPr>
          <w:p>
            <w:pPr>
              <w:jc w:val="left"/>
            </w:pPr>
            <w:r>
              <w:rPr>
                <w:b/>
                <w:bCs/>
                <w:sz w:val="20"/>
                <w:szCs w:val="20"/>
              </w:rPr>
              <w:t xml:space="preserve">Example of delivered work</w:t>
            </w:r>
          </w:p>
        </w:tc>
      </w:tr>
      <w:tr>
        <w:tc>
          <w:tcPr>
            <w:tcW w:type="dxa" w:w="600"/>
            <w:tcMar>
              <w:top w:type="dxa" w:w="80"/>
              <w:left w:type="dxa" w:w="100"/>
              <w:bottom w:type="dxa" w:w="80"/>
              <w:right w:type="dxa" w:w="100"/>
            </w:tcMar>
          </w:tcPr>
          <w:p>
            <w:pPr>
              <w:jc w:val="left"/>
            </w:pPr>
            <w:r>
              <w:rPr>
                <w:b w:val="false"/>
                <w:bCs w:val="false"/>
                <w:sz w:val="20"/>
                <w:szCs w:val="20"/>
              </w:rPr>
              <w:t xml:space="preserve">1</w:t>
            </w:r>
          </w:p>
        </w:tc>
        <w:tc>
          <w:tcPr>
            <w:tcW w:type="dxa" w:w="4200"/>
            <w:tcMar>
              <w:top w:type="dxa" w:w="80"/>
              <w:left w:type="dxa" w:w="100"/>
              <w:bottom w:type="dxa" w:w="80"/>
              <w:right w:type="dxa" w:w="100"/>
            </w:tcMar>
          </w:tcPr>
          <w:p>
            <w:pPr>
              <w:jc w:val="left"/>
            </w:pPr>
            <w:r>
              <w:rPr>
                <w:b w:val="false"/>
                <w:bCs w:val="false"/>
                <w:sz w:val="20"/>
                <w:szCs w:val="20"/>
              </w:rPr>
              <w:t xml:space="preserve">AI-powered business applications</w:t>
            </w:r>
          </w:p>
        </w:tc>
        <w:tc>
          <w:tcPr>
            <w:tcW w:type="dxa" w:w="5200"/>
            <w:tcMar>
              <w:top w:type="dxa" w:w="80"/>
              <w:left w:type="dxa" w:w="100"/>
              <w:bottom w:type="dxa" w:w="80"/>
              <w:right w:type="dxa" w:w="100"/>
            </w:tcMar>
          </w:tcPr>
          <w:p>
            <w:pPr>
              <w:jc w:val="left"/>
            </w:pPr>
            <w:r>
              <w:rPr>
                <w:b w:val="false"/>
                <w:bCs w:val="false"/>
                <w:sz w:val="20"/>
                <w:szCs w:val="20"/>
              </w:rPr>
              <w:t xml:space="preserve">AI-powered dealer/sales intelligence system; AI ad-video generation platform</w:t>
            </w:r>
          </w:p>
        </w:tc>
      </w:tr>
      <w:tr>
        <w:tc>
          <w:tcPr>
            <w:tcW w:type="dxa" w:w="600"/>
            <w:tcMar>
              <w:top w:type="dxa" w:w="80"/>
              <w:left w:type="dxa" w:w="100"/>
              <w:bottom w:type="dxa" w:w="80"/>
              <w:right w:type="dxa" w:w="100"/>
            </w:tcMar>
          </w:tcPr>
          <w:p>
            <w:pPr>
              <w:jc w:val="left"/>
            </w:pPr>
            <w:r>
              <w:rPr>
                <w:b w:val="false"/>
                <w:bCs w:val="false"/>
                <w:sz w:val="20"/>
                <w:szCs w:val="20"/>
              </w:rPr>
              <w:t xml:space="preserve">2</w:t>
            </w:r>
          </w:p>
        </w:tc>
        <w:tc>
          <w:tcPr>
            <w:tcW w:type="dxa" w:w="4200"/>
            <w:tcMar>
              <w:top w:type="dxa" w:w="80"/>
              <w:left w:type="dxa" w:w="100"/>
              <w:bottom w:type="dxa" w:w="80"/>
              <w:right w:type="dxa" w:w="100"/>
            </w:tcMar>
          </w:tcPr>
          <w:p>
            <w:pPr>
              <w:jc w:val="left"/>
            </w:pPr>
            <w:r>
              <w:rPr>
                <w:b w:val="false"/>
                <w:bCs w:val="false"/>
                <w:sz w:val="20"/>
                <w:szCs w:val="20"/>
              </w:rPr>
              <w:t xml:space="preserve">Custom SaaS platforms</w:t>
            </w:r>
          </w:p>
        </w:tc>
        <w:tc>
          <w:tcPr>
            <w:tcW w:type="dxa" w:w="5200"/>
            <w:tcMar>
              <w:top w:type="dxa" w:w="80"/>
              <w:left w:type="dxa" w:w="100"/>
              <w:bottom w:type="dxa" w:w="80"/>
              <w:right w:type="dxa" w:w="100"/>
            </w:tcMar>
          </w:tcPr>
          <w:p>
            <w:pPr>
              <w:jc w:val="left"/>
            </w:pPr>
            <w:r>
              <w:rPr>
                <w:b w:val="false"/>
                <w:bCs w:val="false"/>
                <w:sz w:val="20"/>
                <w:szCs w:val="20"/>
              </w:rPr>
              <w:t xml:space="preserve">Revenue analytics platform for D2C brands; personal health records app</w:t>
            </w:r>
          </w:p>
        </w:tc>
      </w:tr>
      <w:tr>
        <w:tc>
          <w:tcPr>
            <w:tcW w:type="dxa" w:w="600"/>
            <w:tcMar>
              <w:top w:type="dxa" w:w="80"/>
              <w:left w:type="dxa" w:w="100"/>
              <w:bottom w:type="dxa" w:w="80"/>
              <w:right w:type="dxa" w:w="100"/>
            </w:tcMar>
          </w:tcPr>
          <w:p>
            <w:pPr>
              <w:jc w:val="left"/>
            </w:pPr>
            <w:r>
              <w:rPr>
                <w:b w:val="false"/>
                <w:bCs w:val="false"/>
                <w:sz w:val="20"/>
                <w:szCs w:val="20"/>
              </w:rPr>
              <w:t xml:space="preserve">3</w:t>
            </w:r>
          </w:p>
        </w:tc>
        <w:tc>
          <w:tcPr>
            <w:tcW w:type="dxa" w:w="4200"/>
            <w:tcMar>
              <w:top w:type="dxa" w:w="80"/>
              <w:left w:type="dxa" w:w="100"/>
              <w:bottom w:type="dxa" w:w="80"/>
              <w:right w:type="dxa" w:w="100"/>
            </w:tcMar>
          </w:tcPr>
          <w:p>
            <w:pPr>
              <w:jc w:val="left"/>
            </w:pPr>
            <w:r>
              <w:rPr>
                <w:b w:val="false"/>
                <w:bCs w:val="false"/>
                <w:sz w:val="20"/>
                <w:szCs w:val="20"/>
              </w:rPr>
              <w:t xml:space="preserve">Ecommerce ecosystems</w:t>
            </w:r>
          </w:p>
        </w:tc>
        <w:tc>
          <w:tcPr>
            <w:tcW w:type="dxa" w:w="5200"/>
            <w:tcMar>
              <w:top w:type="dxa" w:w="80"/>
              <w:left w:type="dxa" w:w="100"/>
              <w:bottom w:type="dxa" w:w="80"/>
              <w:right w:type="dxa" w:w="100"/>
            </w:tcMar>
          </w:tcPr>
          <w:p>
            <w:pPr>
              <w:jc w:val="left"/>
            </w:pPr>
            <w:r>
              <w:rPr>
                <w:b w:val="false"/>
                <w:bCs w:val="false"/>
                <w:sz w:val="20"/>
                <w:szCs w:val="20"/>
              </w:rPr>
              <w:t xml:space="preserve">E-commerce build-outs incl. India-specific payment integration</w:t>
            </w:r>
          </w:p>
        </w:tc>
      </w:tr>
      <w:tr>
        <w:tc>
          <w:tcPr>
            <w:tcW w:type="dxa" w:w="600"/>
            <w:tcMar>
              <w:top w:type="dxa" w:w="80"/>
              <w:left w:type="dxa" w:w="100"/>
              <w:bottom w:type="dxa" w:w="80"/>
              <w:right w:type="dxa" w:w="100"/>
            </w:tcMar>
          </w:tcPr>
          <w:p>
            <w:pPr>
              <w:jc w:val="left"/>
            </w:pPr>
            <w:r>
              <w:rPr>
                <w:b w:val="false"/>
                <w:bCs w:val="false"/>
                <w:sz w:val="20"/>
                <w:szCs w:val="20"/>
              </w:rPr>
              <w:t xml:space="preserve">4</w:t>
            </w:r>
          </w:p>
        </w:tc>
        <w:tc>
          <w:tcPr>
            <w:tcW w:type="dxa" w:w="4200"/>
            <w:tcMar>
              <w:top w:type="dxa" w:w="80"/>
              <w:left w:type="dxa" w:w="100"/>
              <w:bottom w:type="dxa" w:w="80"/>
              <w:right w:type="dxa" w:w="100"/>
            </w:tcMar>
          </w:tcPr>
          <w:p>
            <w:pPr>
              <w:jc w:val="left"/>
            </w:pPr>
            <w:r>
              <w:rPr>
                <w:b w:val="false"/>
                <w:bCs w:val="false"/>
                <w:sz w:val="20"/>
                <w:szCs w:val="20"/>
              </w:rPr>
              <w:t xml:space="preserve">Marketplace platforms</w:t>
            </w:r>
          </w:p>
        </w:tc>
        <w:tc>
          <w:tcPr>
            <w:tcW w:type="dxa" w:w="5200"/>
            <w:tcMar>
              <w:top w:type="dxa" w:w="80"/>
              <w:left w:type="dxa" w:w="100"/>
              <w:bottom w:type="dxa" w:w="80"/>
              <w:right w:type="dxa" w:w="100"/>
            </w:tcMar>
          </w:tcPr>
          <w:p>
            <w:pPr>
              <w:jc w:val="left"/>
            </w:pPr>
            <w:r>
              <w:rPr>
                <w:b w:val="false"/>
                <w:bCs w:val="false"/>
                <w:sz w:val="20"/>
                <w:szCs w:val="20"/>
              </w:rPr>
              <w:t xml:space="preserve">Hyperlocal commerce, quick-commerce delivery, event-contract trading platforms</w:t>
            </w:r>
          </w:p>
        </w:tc>
      </w:tr>
      <w:tr>
        <w:tc>
          <w:tcPr>
            <w:tcW w:type="dxa" w:w="600"/>
            <w:tcMar>
              <w:top w:type="dxa" w:w="80"/>
              <w:left w:type="dxa" w:w="100"/>
              <w:bottom w:type="dxa" w:w="80"/>
              <w:right w:type="dxa" w:w="100"/>
            </w:tcMar>
          </w:tcPr>
          <w:p>
            <w:pPr>
              <w:jc w:val="left"/>
            </w:pPr>
            <w:r>
              <w:rPr>
                <w:b w:val="false"/>
                <w:bCs w:val="false"/>
                <w:sz w:val="20"/>
                <w:szCs w:val="20"/>
              </w:rPr>
              <w:t xml:space="preserve">5</w:t>
            </w:r>
          </w:p>
        </w:tc>
        <w:tc>
          <w:tcPr>
            <w:tcW w:type="dxa" w:w="4200"/>
            <w:tcMar>
              <w:top w:type="dxa" w:w="80"/>
              <w:left w:type="dxa" w:w="100"/>
              <w:bottom w:type="dxa" w:w="80"/>
              <w:right w:type="dxa" w:w="100"/>
            </w:tcMar>
          </w:tcPr>
          <w:p>
            <w:pPr>
              <w:jc w:val="left"/>
            </w:pPr>
            <w:r>
              <w:rPr>
                <w:b w:val="false"/>
                <w:bCs w:val="false"/>
                <w:sz w:val="20"/>
                <w:szCs w:val="20"/>
              </w:rPr>
              <w:t xml:space="preserve">Workflow automation systems</w:t>
            </w:r>
          </w:p>
        </w:tc>
        <w:tc>
          <w:tcPr>
            <w:tcW w:type="dxa" w:w="5200"/>
            <w:tcMar>
              <w:top w:type="dxa" w:w="80"/>
              <w:left w:type="dxa" w:w="100"/>
              <w:bottom w:type="dxa" w:w="80"/>
              <w:right w:type="dxa" w:w="100"/>
            </w:tcMar>
          </w:tcPr>
          <w:p>
            <w:pPr>
              <w:jc w:val="left"/>
            </w:pPr>
            <w:r>
              <w:rPr>
                <w:b w:val="false"/>
                <w:bCs w:val="false"/>
                <w:sz w:val="20"/>
                <w:szCs w:val="20"/>
              </w:rPr>
              <w:t xml:space="preserve">Complaint/lifecycle management system for an industrial manufacturer</w:t>
            </w:r>
          </w:p>
        </w:tc>
      </w:tr>
      <w:tr>
        <w:tc>
          <w:tcPr>
            <w:tcW w:type="dxa" w:w="600"/>
            <w:tcMar>
              <w:top w:type="dxa" w:w="80"/>
              <w:left w:type="dxa" w:w="100"/>
              <w:bottom w:type="dxa" w:w="80"/>
              <w:right w:type="dxa" w:w="100"/>
            </w:tcMar>
          </w:tcPr>
          <w:p>
            <w:pPr>
              <w:jc w:val="left"/>
            </w:pPr>
            <w:r>
              <w:rPr>
                <w:b w:val="false"/>
                <w:bCs w:val="false"/>
                <w:sz w:val="20"/>
                <w:szCs w:val="20"/>
              </w:rPr>
              <w:t xml:space="preserve">6</w:t>
            </w:r>
          </w:p>
        </w:tc>
        <w:tc>
          <w:tcPr>
            <w:tcW w:type="dxa" w:w="4200"/>
            <w:tcMar>
              <w:top w:type="dxa" w:w="80"/>
              <w:left w:type="dxa" w:w="100"/>
              <w:bottom w:type="dxa" w:w="80"/>
              <w:right w:type="dxa" w:w="100"/>
            </w:tcMar>
          </w:tcPr>
          <w:p>
            <w:pPr>
              <w:jc w:val="left"/>
            </w:pPr>
            <w:r>
              <w:rPr>
                <w:b w:val="false"/>
                <w:bCs w:val="false"/>
                <w:sz w:val="20"/>
                <w:szCs w:val="20"/>
              </w:rPr>
              <w:t xml:space="preserve">Internal operational software</w:t>
            </w:r>
          </w:p>
        </w:tc>
        <w:tc>
          <w:tcPr>
            <w:tcW w:type="dxa" w:w="5200"/>
            <w:tcMar>
              <w:top w:type="dxa" w:w="80"/>
              <w:left w:type="dxa" w:w="100"/>
              <w:bottom w:type="dxa" w:w="80"/>
              <w:right w:type="dxa" w:w="100"/>
            </w:tcMar>
          </w:tcPr>
          <w:p>
            <w:pPr>
              <w:jc w:val="left"/>
            </w:pPr>
            <w:r>
              <w:rPr>
                <w:b w:val="false"/>
                <w:bCs w:val="false"/>
                <w:sz w:val="20"/>
                <w:szCs w:val="20"/>
              </w:rPr>
              <w:t xml:space="preserve">Multi-location operational reporting tools</w:t>
            </w:r>
          </w:p>
        </w:tc>
      </w:tr>
      <w:tr>
        <w:tc>
          <w:tcPr>
            <w:tcW w:type="dxa" w:w="600"/>
            <w:tcMar>
              <w:top w:type="dxa" w:w="80"/>
              <w:left w:type="dxa" w:w="100"/>
              <w:bottom w:type="dxa" w:w="80"/>
              <w:right w:type="dxa" w:w="100"/>
            </w:tcMar>
          </w:tcPr>
          <w:p>
            <w:pPr>
              <w:jc w:val="left"/>
            </w:pPr>
            <w:r>
              <w:rPr>
                <w:b w:val="false"/>
                <w:bCs w:val="false"/>
                <w:sz w:val="20"/>
                <w:szCs w:val="20"/>
              </w:rPr>
              <w:t xml:space="preserve">7</w:t>
            </w:r>
          </w:p>
        </w:tc>
        <w:tc>
          <w:tcPr>
            <w:tcW w:type="dxa" w:w="4200"/>
            <w:tcMar>
              <w:top w:type="dxa" w:w="80"/>
              <w:left w:type="dxa" w:w="100"/>
              <w:bottom w:type="dxa" w:w="80"/>
              <w:right w:type="dxa" w:w="100"/>
            </w:tcMar>
          </w:tcPr>
          <w:p>
            <w:pPr>
              <w:jc w:val="left"/>
            </w:pPr>
            <w:r>
              <w:rPr>
                <w:b w:val="false"/>
                <w:bCs w:val="false"/>
                <w:sz w:val="20"/>
                <w:szCs w:val="20"/>
              </w:rPr>
              <w:t xml:space="preserve">Analytics and reporting systems</w:t>
            </w:r>
          </w:p>
        </w:tc>
        <w:tc>
          <w:tcPr>
            <w:tcW w:type="dxa" w:w="5200"/>
            <w:tcMar>
              <w:top w:type="dxa" w:w="80"/>
              <w:left w:type="dxa" w:w="100"/>
              <w:bottom w:type="dxa" w:w="80"/>
              <w:right w:type="dxa" w:w="100"/>
            </w:tcMar>
          </w:tcPr>
          <w:p>
            <w:pPr>
              <w:jc w:val="left"/>
            </w:pPr>
            <w:r>
              <w:rPr>
                <w:b w:val="false"/>
                <w:bCs w:val="false"/>
                <w:sz w:val="20"/>
                <w:szCs w:val="20"/>
              </w:rPr>
              <w:t xml:space="preserve">Revenue/traffic dashboards; technical-to-business value translation</w:t>
            </w:r>
          </w:p>
        </w:tc>
      </w:tr>
      <w:tr>
        <w:tc>
          <w:tcPr>
            <w:tcW w:type="dxa" w:w="600"/>
            <w:tcMar>
              <w:top w:type="dxa" w:w="80"/>
              <w:left w:type="dxa" w:w="100"/>
              <w:bottom w:type="dxa" w:w="80"/>
              <w:right w:type="dxa" w:w="100"/>
            </w:tcMar>
          </w:tcPr>
          <w:p>
            <w:pPr>
              <w:jc w:val="left"/>
            </w:pPr>
            <w:r>
              <w:rPr>
                <w:b w:val="false"/>
                <w:bCs w:val="false"/>
                <w:sz w:val="20"/>
                <w:szCs w:val="20"/>
              </w:rPr>
              <w:t xml:space="preserve">8</w:t>
            </w:r>
          </w:p>
        </w:tc>
        <w:tc>
          <w:tcPr>
            <w:tcW w:type="dxa" w:w="4200"/>
            <w:tcMar>
              <w:top w:type="dxa" w:w="80"/>
              <w:left w:type="dxa" w:w="100"/>
              <w:bottom w:type="dxa" w:w="80"/>
              <w:right w:type="dxa" w:w="100"/>
            </w:tcMar>
          </w:tcPr>
          <w:p>
            <w:pPr>
              <w:jc w:val="left"/>
            </w:pPr>
            <w:r>
              <w:rPr>
                <w:b w:val="false"/>
                <w:bCs w:val="false"/>
                <w:sz w:val="20"/>
                <w:szCs w:val="20"/>
              </w:rPr>
              <w:t xml:space="preserve">AI integrations and intelligent automation</w:t>
            </w:r>
          </w:p>
        </w:tc>
        <w:tc>
          <w:tcPr>
            <w:tcW w:type="dxa" w:w="5200"/>
            <w:tcMar>
              <w:top w:type="dxa" w:w="80"/>
              <w:left w:type="dxa" w:w="100"/>
              <w:bottom w:type="dxa" w:w="80"/>
              <w:right w:type="dxa" w:w="100"/>
            </w:tcMar>
          </w:tcPr>
          <w:p>
            <w:pPr>
              <w:jc w:val="left"/>
            </w:pPr>
            <w:r>
              <w:rPr>
                <w:b w:val="false"/>
                <w:bCs w:val="false"/>
                <w:sz w:val="20"/>
                <w:szCs w:val="20"/>
              </w:rPr>
              <w:t xml:space="preserve">Influencer marketing multi-dashboard platform; CRM/Sales Navigator workflow advisory</w:t>
            </w:r>
          </w:p>
        </w:tc>
      </w:tr>
    </w:tbl>
    <w:p>
      <w:pPr>
        <w:spacing w:after="160"/>
      </w:pPr>
      <w:r>
        <w:rPr>
          <w:i/>
          <w:iCs/>
          <w:color w:val="666666"/>
          <w:sz w:val="20"/>
          <w:szCs w:val="20"/>
        </w:rPr>
        <w:t xml:space="preserve">An earlier draft treated "Virtual CTO / Dedicated Team Model" as a 9th service line. That was a misreading of a single proposal’s framing and has since been removed — it is a positioning device Demaze sometimes uses, not a distinct service the platform should pitch.</w:t>
      </w:r>
    </w:p>
    <w:p>
      <w:pPr>
        <w:pStyle w:val="Heading2"/>
        <w:spacing w:after="150" w:before="300"/>
      </w:pPr>
      <w:r>
        <w:t xml:space="preserve">The anti-pattern this project is built to avoid</w:t>
      </w:r>
    </w:p>
    <w:p>
      <w:pPr>
        <w:spacing w:after="160"/>
      </w:pPr>
      <w:r>
        <w:t xml:space="preserve">A generic industry classifier that outputs "Digital transformation" as the opportunity for every manufacturer is not useful — it is a schema being technically satisfied without saying anything a salesperson can use. The target pattern is a direct chain from evidence to a specific, named opportunity:</w:t>
      </w:r>
    </w:p>
    <w:p>
      <w:pPr>
        <w:pStyle w:val="ListParagraph"/>
        <w:numPr>
          <w:ilvl w:val="0"/>
          <w:numId w:val="2"/>
        </w:numPr>
        <w:spacing w:after="80"/>
      </w:pPr>
      <w:r>
        <w:t xml:space="preserve">Evidence: 6 manufacturing facilities found, with no unified reporting mentioned anywhere.</w:t>
      </w:r>
    </w:p>
    <w:p>
      <w:pPr>
        <w:pStyle w:val="ListParagraph"/>
        <w:numPr>
          <w:ilvl w:val="0"/>
          <w:numId w:val="2"/>
        </w:numPr>
        <w:spacing w:after="80"/>
      </w:pPr>
      <w:r>
        <w:t xml:space="preserve">Likely problem: cross-location production visibility; delayed plant-to-HQ reporting.</w:t>
      </w:r>
    </w:p>
    <w:p>
      <w:pPr>
        <w:pStyle w:val="ListParagraph"/>
        <w:numPr>
          <w:ilvl w:val="0"/>
          <w:numId w:val="2"/>
        </w:numPr>
        <w:spacing w:after="80"/>
      </w:pPr>
      <w:r>
        <w:t xml:space="preserve">Demaze fit: operational dashboards, plant reporting automation (service line 6).</w:t>
      </w:r>
    </w:p>
    <w:p>
      <w:pPr>
        <w:pStyle w:val="ListParagraph"/>
        <w:numPr>
          <w:ilvl w:val="0"/>
          <w:numId w:val="2"/>
        </w:numPr>
        <w:spacing w:after="80"/>
      </w:pPr>
      <w:r>
        <w:t xml:space="preserve">Outreach angle: "Coordinating reporting across 6 facilities usually means someone is still stitching Excel sheets together weekly — worth 15 minutes to see how that gets automated?"</w:t>
      </w:r>
    </w:p>
    <w:p>
      <w:pPr>
        <w:spacing w:after="160"/>
      </w:pPr>
      <w:r>
        <w:t xml:space="preserve">If the evidence does not clear a real threshold, the correct output is no forced opportunity at all — not a generic angle stretched over thin evidence. This "9th outcome: insufficient evidence" case is treated as a legitimate, correct result, not a failure.</w:t>
      </w:r>
    </w:p>
    <w:p>
      <w:r>
        <w:br w:type="page"/>
      </w:r>
    </w:p>
    <w:p>
      <w:pPr>
        <w:pStyle w:val="Heading1"/>
        <w:spacing w:after="200" w:before="400"/>
      </w:pPr>
      <w:r>
        <w:t xml:space="preserve">3. Output — The 5-Field Report</w:t>
      </w:r>
    </w:p>
    <w:p>
      <w:pPr>
        <w:spacing w:after="160"/>
      </w:pPr>
      <w:r>
        <w:t xml:space="preserve">Every company is researched once. The output is exactly these 5 fields — this schema is locked:</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6800"/>
      </w:tblGrid>
      <w:tr>
        <w:trPr>
          <w:tblHeader/>
        </w:trPr>
        <w:tc>
          <w:tcPr>
            <w:tcW w:type="dxa" w:w="3200"/>
            <w:shd w:fill="DDE6F5" w:val="clear"/>
            <w:tcMar>
              <w:top w:type="dxa" w:w="80"/>
              <w:left w:type="dxa" w:w="100"/>
              <w:bottom w:type="dxa" w:w="80"/>
              <w:right w:type="dxa" w:w="100"/>
            </w:tcMar>
          </w:tcPr>
          <w:p>
            <w:pPr>
              <w:jc w:val="left"/>
            </w:pPr>
            <w:r>
              <w:rPr>
                <w:b/>
                <w:bCs/>
                <w:sz w:val="20"/>
                <w:szCs w:val="20"/>
              </w:rPr>
              <w:t xml:space="preserve">Field</w:t>
            </w:r>
          </w:p>
        </w:tc>
        <w:tc>
          <w:tcPr>
            <w:tcW w:type="dxa" w:w="6800"/>
            <w:shd w:fill="DDE6F5" w:val="clear"/>
            <w:tcMar>
              <w:top w:type="dxa" w:w="80"/>
              <w:left w:type="dxa" w:w="100"/>
              <w:bottom w:type="dxa" w:w="80"/>
              <w:right w:type="dxa" w:w="100"/>
            </w:tcMar>
          </w:tcPr>
          <w:p>
            <w:pPr>
              <w:jc w:val="left"/>
            </w:pPr>
            <w:r>
              <w:rPr>
                <w:b/>
                <w:bCs/>
                <w:sz w:val="20"/>
                <w:szCs w:val="20"/>
              </w:rPr>
              <w:t xml:space="preserve">Contains</w:t>
            </w:r>
          </w:p>
        </w:tc>
      </w:tr>
      <w:tr>
        <w:tc>
          <w:tcPr>
            <w:tcW w:type="dxa" w:w="3200"/>
            <w:tcMar>
              <w:top w:type="dxa" w:w="80"/>
              <w:left w:type="dxa" w:w="100"/>
              <w:bottom w:type="dxa" w:w="80"/>
              <w:right w:type="dxa" w:w="100"/>
            </w:tcMar>
          </w:tcPr>
          <w:p>
            <w:pPr>
              <w:jc w:val="left"/>
            </w:pPr>
            <w:r>
              <w:rPr>
                <w:b w:val="false"/>
                <w:bCs w:val="false"/>
                <w:sz w:val="20"/>
                <w:szCs w:val="20"/>
              </w:rPr>
              <w:t xml:space="preserve">Company Description</w:t>
            </w:r>
          </w:p>
        </w:tc>
        <w:tc>
          <w:tcPr>
            <w:tcW w:type="dxa" w:w="6800"/>
            <w:tcMar>
              <w:top w:type="dxa" w:w="80"/>
              <w:left w:type="dxa" w:w="100"/>
              <w:bottom w:type="dxa" w:w="80"/>
              <w:right w:type="dxa" w:w="100"/>
            </w:tcMar>
          </w:tcPr>
          <w:p>
            <w:pPr>
              <w:jc w:val="left"/>
            </w:pPr>
            <w:r>
              <w:rPr>
                <w:b w:val="false"/>
                <w:bCs w:val="false"/>
                <w:sz w:val="20"/>
                <w:szCs w:val="20"/>
              </w:rPr>
              <w:t xml:space="preserve">What the company does, industry, size, headquarters, business model</w:t>
            </w:r>
          </w:p>
        </w:tc>
      </w:tr>
      <w:tr>
        <w:tc>
          <w:tcPr>
            <w:tcW w:type="dxa" w:w="3200"/>
            <w:tcMar>
              <w:top w:type="dxa" w:w="80"/>
              <w:left w:type="dxa" w:w="100"/>
              <w:bottom w:type="dxa" w:w="80"/>
              <w:right w:type="dxa" w:w="100"/>
            </w:tcMar>
          </w:tcPr>
          <w:p>
            <w:pPr>
              <w:jc w:val="left"/>
            </w:pPr>
            <w:r>
              <w:rPr>
                <w:b w:val="false"/>
                <w:bCs w:val="false"/>
                <w:sz w:val="20"/>
                <w:szCs w:val="20"/>
              </w:rPr>
              <w:t xml:space="preserve">Pain Points</w:t>
            </w:r>
          </w:p>
        </w:tc>
        <w:tc>
          <w:tcPr>
            <w:tcW w:type="dxa" w:w="6800"/>
            <w:tcMar>
              <w:top w:type="dxa" w:w="80"/>
              <w:left w:type="dxa" w:w="100"/>
              <w:bottom w:type="dxa" w:w="80"/>
              <w:right w:type="dxa" w:w="100"/>
            </w:tcMar>
          </w:tcPr>
          <w:p>
            <w:pPr>
              <w:jc w:val="left"/>
            </w:pPr>
            <w:r>
              <w:rPr>
                <w:b w:val="false"/>
                <w:bCs w:val="false"/>
                <w:sz w:val="20"/>
                <w:szCs w:val="20"/>
              </w:rPr>
              <w:t xml:space="preserve">3–5 operational challenges, each marked observed (directly stated) or inferred</w:t>
            </w:r>
          </w:p>
        </w:tc>
      </w:tr>
      <w:tr>
        <w:tc>
          <w:tcPr>
            <w:tcW w:type="dxa" w:w="3200"/>
            <w:tcMar>
              <w:top w:type="dxa" w:w="80"/>
              <w:left w:type="dxa" w:w="100"/>
              <w:bottom w:type="dxa" w:w="80"/>
              <w:right w:type="dxa" w:w="100"/>
            </w:tcMar>
          </w:tcPr>
          <w:p>
            <w:pPr>
              <w:jc w:val="left"/>
            </w:pPr>
            <w:r>
              <w:rPr>
                <w:b w:val="false"/>
                <w:bCs w:val="false"/>
                <w:sz w:val="20"/>
                <w:szCs w:val="20"/>
              </w:rPr>
              <w:t xml:space="preserve">AI Opportunities</w:t>
            </w:r>
          </w:p>
        </w:tc>
        <w:tc>
          <w:tcPr>
            <w:tcW w:type="dxa" w:w="6800"/>
            <w:tcMar>
              <w:top w:type="dxa" w:w="80"/>
              <w:left w:type="dxa" w:w="100"/>
              <w:bottom w:type="dxa" w:w="80"/>
              <w:right w:type="dxa" w:w="100"/>
            </w:tcMar>
          </w:tcPr>
          <w:p>
            <w:pPr>
              <w:jc w:val="left"/>
            </w:pPr>
            <w:r>
              <w:rPr>
                <w:b w:val="false"/>
                <w:bCs w:val="false"/>
                <w:sz w:val="20"/>
                <w:szCs w:val="20"/>
              </w:rPr>
              <w:t xml:space="preserve">Specific Demaze service matches, backed by real evidence, evidence-threshold gated</w:t>
            </w:r>
          </w:p>
        </w:tc>
      </w:tr>
      <w:tr>
        <w:tc>
          <w:tcPr>
            <w:tcW w:type="dxa" w:w="3200"/>
            <w:tcMar>
              <w:top w:type="dxa" w:w="80"/>
              <w:left w:type="dxa" w:w="100"/>
              <w:bottom w:type="dxa" w:w="80"/>
              <w:right w:type="dxa" w:w="100"/>
            </w:tcMar>
          </w:tcPr>
          <w:p>
            <w:pPr>
              <w:jc w:val="left"/>
            </w:pPr>
            <w:r>
              <w:rPr>
                <w:b w:val="false"/>
                <w:bCs w:val="false"/>
                <w:sz w:val="20"/>
                <w:szCs w:val="20"/>
              </w:rPr>
              <w:t xml:space="preserve">Recent News</w:t>
            </w:r>
          </w:p>
        </w:tc>
        <w:tc>
          <w:tcPr>
            <w:tcW w:type="dxa" w:w="6800"/>
            <w:tcMar>
              <w:top w:type="dxa" w:w="80"/>
              <w:left w:type="dxa" w:w="100"/>
              <w:bottom w:type="dxa" w:w="80"/>
              <w:right w:type="dxa" w:w="100"/>
            </w:tcMar>
          </w:tcPr>
          <w:p>
            <w:pPr>
              <w:jc w:val="left"/>
            </w:pPr>
            <w:r>
              <w:rPr>
                <w:b w:val="false"/>
                <w:bCs w:val="false"/>
                <w:sz w:val="20"/>
                <w:szCs w:val="20"/>
              </w:rPr>
              <w:t xml:space="preserve">Signals of active change — expansion, hiring surges, digital investment, leadership change</w:t>
            </w:r>
          </w:p>
        </w:tc>
      </w:tr>
      <w:tr>
        <w:tc>
          <w:tcPr>
            <w:tcW w:type="dxa" w:w="3200"/>
            <w:tcMar>
              <w:top w:type="dxa" w:w="80"/>
              <w:left w:type="dxa" w:w="100"/>
              <w:bottom w:type="dxa" w:w="80"/>
              <w:right w:type="dxa" w:w="100"/>
            </w:tcMar>
          </w:tcPr>
          <w:p>
            <w:pPr>
              <w:jc w:val="left"/>
            </w:pPr>
            <w:r>
              <w:rPr>
                <w:b w:val="false"/>
                <w:bCs w:val="false"/>
                <w:sz w:val="20"/>
                <w:szCs w:val="20"/>
              </w:rPr>
              <w:t xml:space="preserve">Personalization Summary</w:t>
            </w:r>
          </w:p>
        </w:tc>
        <w:tc>
          <w:tcPr>
            <w:tcW w:type="dxa" w:w="6800"/>
            <w:tcMar>
              <w:top w:type="dxa" w:w="80"/>
              <w:left w:type="dxa" w:w="100"/>
              <w:bottom w:type="dxa" w:w="80"/>
              <w:right w:type="dxa" w:w="100"/>
            </w:tcMar>
          </w:tcPr>
          <w:p>
            <w:pPr>
              <w:jc w:val="left"/>
            </w:pPr>
            <w:r>
              <w:rPr>
                <w:b w:val="false"/>
                <w:bCs w:val="false"/>
                <w:sz w:val="20"/>
                <w:szCs w:val="20"/>
              </w:rPr>
              <w:t xml:space="preserve">A ready-to-send outreach opening a rep could use with minimal editing</w:t>
            </w:r>
          </w:p>
        </w:tc>
      </w:tr>
    </w:tbl>
    <w:p>
      <w:pPr>
        <w:spacing w:after="160"/>
      </w:pPr>
      <w:r>
        <w:t xml:space="preserve">Notably absent: any buyer, stakeholder, or "who to contact" field. This was in the schema at one point and was deliberately removed — the named person and title always arrive as input data from the Sales Navigator export, so generating or ranking a buyer would be solving a problem that does not exist for this pipeline. Removing this took two passes: first locking the schema in documentation, then a dedicated engineering pass to strip every buyer/contact reference out of the actual prompts, types, and normalization code (not just the docs) — confirmed via full-codebase search that no dangling references remained.</w:t>
      </w:r>
    </w:p>
    <w:p>
      <w:pPr>
        <w:pStyle w:val="Heading1"/>
        <w:spacing w:after="200" w:before="400"/>
      </w:pPr>
      <w:r>
        <w:t xml:space="preserve">4. System Architecture</w:t>
      </w:r>
    </w:p>
    <w:p>
      <w:pPr>
        <w:pStyle w:val="Heading2"/>
        <w:spacing w:after="150" w:before="300"/>
      </w:pPr>
      <w:r>
        <w:t xml:space="preserve">Pipeline (current, as of this report)</w:t>
      </w:r>
    </w:p>
    <w:p>
      <w:pPr>
        <w:pStyle w:val="ListParagraph"/>
        <w:numPr>
          <w:ilvl w:val="0"/>
          <w:numId w:val="2"/>
        </w:numPr>
        <w:spacing w:after="80"/>
      </w:pPr>
      <w:r>
        <w:t xml:space="preserve">Company identity arrives as a URL, a company name, or a batch file upload (xlsx/csv/docx/pdf).</w:t>
      </w:r>
    </w:p>
    <w:p>
      <w:pPr>
        <w:pStyle w:val="ListParagraph"/>
        <w:numPr>
          <w:ilvl w:val="0"/>
          <w:numId w:val="2"/>
        </w:numPr>
        <w:spacing w:after="80"/>
      </w:pPr>
      <w:r>
        <w:t xml:space="preserve">If only a name is given: website discovery runs first — confidence-tiered (high/medium/none), and any ambiguous or unresolved case is left honestly unresolved rather than guessed.</w:t>
      </w:r>
    </w:p>
    <w:p>
      <w:pPr>
        <w:pStyle w:val="ListParagraph"/>
        <w:numPr>
          <w:ilvl w:val="0"/>
          <w:numId w:val="2"/>
        </w:numPr>
        <w:spacing w:after="80"/>
      </w:pPr>
      <w:r>
        <w:t xml:space="preserve">Website scraping begins (Firecrawl → Jina Reader → search-engine fallback → direct fetch, in that order, first one that returns usable content wins).</w:t>
      </w:r>
    </w:p>
    <w:p>
      <w:pPr>
        <w:pStyle w:val="ListParagraph"/>
        <w:numPr>
          <w:ilvl w:val="0"/>
          <w:numId w:val="2"/>
        </w:numPr>
        <w:spacing w:after="80"/>
      </w:pPr>
      <w:r>
        <w:t xml:space="preserve">In parallel with scraping (as of this session’s work): external research discovery begins — targeted search queries via Tavily/Serper for investor relations pages, annual reports, press releases, job postings, and news coverage, followed by fetching the best candidates.</w:t>
      </w:r>
    </w:p>
    <w:p>
      <w:pPr>
        <w:pStyle w:val="ListParagraph"/>
        <w:numPr>
          <w:ilvl w:val="0"/>
          <w:numId w:val="2"/>
        </w:numPr>
        <w:spacing w:after="80"/>
      </w:pPr>
      <w:r>
        <w:t xml:space="preserve">Once scraping completes: the site is classified (manufacturer, financial institution, SaaS, etc.), deterministic signal patterns are matched against the real content, and — only if the site content is thin or looks consumer-facing — a further "recovery" pass probes known corporate sub-paths (investor-relations, sustainability, newsroom, etc.) directly.</w:t>
      </w:r>
    </w:p>
    <w:p>
      <w:pPr>
        <w:pStyle w:val="ListParagraph"/>
        <w:numPr>
          <w:ilvl w:val="0"/>
          <w:numId w:val="2"/>
        </w:numPr>
        <w:spacing w:after="80"/>
      </w:pPr>
      <w:r>
        <w:t xml:space="preserve">All extracted evidence (website + external research) feeds an LLM prompt that produces the narrative report; the LLM output is matched against the real 8 service lines with an evidence threshold, not free-form invention.</w:t>
      </w:r>
    </w:p>
    <w:p>
      <w:pPr>
        <w:pStyle w:val="ListParagraph"/>
        <w:numPr>
          <w:ilvl w:val="0"/>
          <w:numId w:val="2"/>
        </w:numPr>
        <w:spacing w:after="80"/>
      </w:pPr>
      <w:r>
        <w:t xml:space="preserve">Every stage reports a validation gate (PASS / WARN / PARTIAL) — the pipeline is designed to never hard-fail. If a site cannot be scraped at all, external research becomes the primary source instead of returning an error.</w:t>
      </w:r>
    </w:p>
    <w:p>
      <w:pPr>
        <w:pStyle w:val="Heading2"/>
        <w:spacing w:after="150" w:before="300"/>
      </w:pPr>
      <w:r>
        <w:t xml:space="preserve">Admin interface — 3 pages</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7400"/>
      </w:tblGrid>
      <w:tr>
        <w:trPr>
          <w:tblHeader/>
        </w:trPr>
        <w:tc>
          <w:tcPr>
            <w:tcW w:type="dxa" w:w="2600"/>
            <w:shd w:fill="DDE6F5" w:val="clear"/>
            <w:tcMar>
              <w:top w:type="dxa" w:w="80"/>
              <w:left w:type="dxa" w:w="100"/>
              <w:bottom w:type="dxa" w:w="80"/>
              <w:right w:type="dxa" w:w="100"/>
            </w:tcMar>
          </w:tcPr>
          <w:p>
            <w:pPr>
              <w:jc w:val="left"/>
            </w:pPr>
            <w:r>
              <w:rPr>
                <w:b/>
                <w:bCs/>
                <w:sz w:val="20"/>
                <w:szCs w:val="20"/>
              </w:rPr>
              <w:t xml:space="preserve">Page</w:t>
            </w:r>
          </w:p>
        </w:tc>
        <w:tc>
          <w:tcPr>
            <w:tcW w:type="dxa" w:w="7400"/>
            <w:shd w:fill="DDE6F5" w:val="clear"/>
            <w:tcMar>
              <w:top w:type="dxa" w:w="80"/>
              <w:left w:type="dxa" w:w="100"/>
              <w:bottom w:type="dxa" w:w="80"/>
              <w:right w:type="dxa" w:w="100"/>
            </w:tcMar>
          </w:tcPr>
          <w:p>
            <w:pPr>
              <w:jc w:val="left"/>
            </w:pPr>
            <w:r>
              <w:rPr>
                <w:b/>
                <w:bCs/>
                <w:sz w:val="20"/>
                <w:szCs w:val="20"/>
              </w:rPr>
              <w:t xml:space="preserve">Purpose</w:t>
            </w:r>
          </w:p>
        </w:tc>
      </w:tr>
      <w:tr>
        <w:tc>
          <w:tcPr>
            <w:tcW w:type="dxa" w:w="2600"/>
            <w:tcMar>
              <w:top w:type="dxa" w:w="80"/>
              <w:left w:type="dxa" w:w="100"/>
              <w:bottom w:type="dxa" w:w="80"/>
              <w:right w:type="dxa" w:w="100"/>
            </w:tcMar>
          </w:tcPr>
          <w:p>
            <w:pPr>
              <w:jc w:val="left"/>
            </w:pPr>
            <w:r>
              <w:rPr>
                <w:b w:val="false"/>
                <w:bCs w:val="false"/>
                <w:sz w:val="20"/>
                <w:szCs w:val="20"/>
              </w:rPr>
              <w:t xml:space="preserve">Intelligence Lab</w:t>
            </w:r>
          </w:p>
        </w:tc>
        <w:tc>
          <w:tcPr>
            <w:tcW w:type="dxa" w:w="7400"/>
            <w:tcMar>
              <w:top w:type="dxa" w:w="80"/>
              <w:left w:type="dxa" w:w="100"/>
              <w:bottom w:type="dxa" w:w="80"/>
              <w:right w:type="dxa" w:w="100"/>
            </w:tcMar>
          </w:tcPr>
          <w:p>
            <w:pPr>
              <w:jc w:val="left"/>
            </w:pPr>
            <w:r>
              <w:rPr>
                <w:b w:val="false"/>
                <w:bCs w:val="false"/>
                <w:sz w:val="20"/>
                <w:szCs w:val="20"/>
              </w:rPr>
              <w:t xml:space="preserve">Single-URL research with a full debug view — the primary testing/QA surface for the pipeline itself</w:t>
            </w:r>
          </w:p>
        </w:tc>
      </w:tr>
      <w:tr>
        <w:tc>
          <w:tcPr>
            <w:tcW w:type="dxa" w:w="2600"/>
            <w:tcMar>
              <w:top w:type="dxa" w:w="80"/>
              <w:left w:type="dxa" w:w="100"/>
              <w:bottom w:type="dxa" w:w="80"/>
              <w:right w:type="dxa" w:w="100"/>
            </w:tcMar>
          </w:tcPr>
          <w:p>
            <w:pPr>
              <w:jc w:val="left"/>
            </w:pPr>
            <w:r>
              <w:rPr>
                <w:b w:val="false"/>
                <w:bCs w:val="false"/>
                <w:sz w:val="20"/>
                <w:szCs w:val="20"/>
              </w:rPr>
              <w:t xml:space="preserve">Batch Upload</w:t>
            </w:r>
          </w:p>
        </w:tc>
        <w:tc>
          <w:tcPr>
            <w:tcW w:type="dxa" w:w="7400"/>
            <w:tcMar>
              <w:top w:type="dxa" w:w="80"/>
              <w:left w:type="dxa" w:w="100"/>
              <w:bottom w:type="dxa" w:w="80"/>
              <w:right w:type="dxa" w:w="100"/>
            </w:tcMar>
          </w:tcPr>
          <w:p>
            <w:pPr>
              <w:jc w:val="left"/>
            </w:pPr>
            <w:r>
              <w:rPr>
                <w:b w:val="false"/>
                <w:bCs w:val="false"/>
                <w:sz w:val="20"/>
                <w:szCs w:val="20"/>
              </w:rPr>
              <w:t xml:space="preserve">Upload a real lead-list export, review the parsed/deduplicated company list, and research a batch sequentially with progress tracking and automatic quota-exhaustion detection</w:t>
            </w:r>
          </w:p>
        </w:tc>
      </w:tr>
      <w:tr>
        <w:tc>
          <w:tcPr>
            <w:tcW w:type="dxa" w:w="2600"/>
            <w:tcMar>
              <w:top w:type="dxa" w:w="80"/>
              <w:left w:type="dxa" w:w="100"/>
              <w:bottom w:type="dxa" w:w="80"/>
              <w:right w:type="dxa" w:w="100"/>
            </w:tcMar>
          </w:tcPr>
          <w:p>
            <w:pPr>
              <w:jc w:val="left"/>
            </w:pPr>
            <w:r>
              <w:rPr>
                <w:b w:val="false"/>
                <w:bCs w:val="false"/>
                <w:sz w:val="20"/>
                <w:szCs w:val="20"/>
              </w:rPr>
              <w:t xml:space="preserve">Run History</w:t>
            </w:r>
          </w:p>
        </w:tc>
        <w:tc>
          <w:tcPr>
            <w:tcW w:type="dxa" w:w="7400"/>
            <w:tcMar>
              <w:top w:type="dxa" w:w="80"/>
              <w:left w:type="dxa" w:w="100"/>
              <w:bottom w:type="dxa" w:w="80"/>
              <w:right w:type="dxa" w:w="100"/>
            </w:tcMar>
          </w:tcPr>
          <w:p>
            <w:pPr>
              <w:jc w:val="left"/>
            </w:pPr>
            <w:r>
              <w:rPr>
                <w:b w:val="false"/>
                <w:bCs w:val="false"/>
                <w:sz w:val="20"/>
                <w:szCs w:val="20"/>
              </w:rPr>
              <w:t xml:space="preserve">Every research run is saved and browsable, with the ability to delete individual saved runs</w:t>
            </w:r>
          </w:p>
        </w:tc>
      </w:tr>
    </w:tbl>
    <w:p>
      <w:pPr>
        <w:spacing w:after="160"/>
      </w:pPr>
      <w:r>
        <w:rPr>
          <w:i/>
          <w:iCs/>
          <w:color w:val="666666"/>
          <w:sz w:val="20"/>
          <w:szCs w:val="20"/>
        </w:rPr>
        <w:t xml:space="preserve">This admin interface is explicitly a testing harness for the pipeline, not the production customer-facing product — no further investment is planned in it beyond what supports pipeline development.</w:t>
      </w:r>
    </w:p>
    <w:p>
      <w:pPr>
        <w:pStyle w:val="Heading2"/>
        <w:spacing w:after="150" w:before="300"/>
      </w:pPr>
      <w:r>
        <w:t xml:space="preserve">Technology stack</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7400"/>
      </w:tblGrid>
      <w:tr>
        <w:trPr>
          <w:tblHeader/>
        </w:trPr>
        <w:tc>
          <w:tcPr>
            <w:tcW w:type="dxa" w:w="2600"/>
            <w:shd w:fill="DDE6F5" w:val="clear"/>
            <w:tcMar>
              <w:top w:type="dxa" w:w="80"/>
              <w:left w:type="dxa" w:w="100"/>
              <w:bottom w:type="dxa" w:w="80"/>
              <w:right w:type="dxa" w:w="100"/>
            </w:tcMar>
          </w:tcPr>
          <w:p>
            <w:pPr>
              <w:jc w:val="left"/>
            </w:pPr>
            <w:r>
              <w:rPr>
                <w:b/>
                <w:bCs/>
                <w:sz w:val="20"/>
                <w:szCs w:val="20"/>
              </w:rPr>
              <w:t xml:space="preserve">Layer</w:t>
            </w:r>
          </w:p>
        </w:tc>
        <w:tc>
          <w:tcPr>
            <w:tcW w:type="dxa" w:w="7400"/>
            <w:shd w:fill="DDE6F5" w:val="clear"/>
            <w:tcMar>
              <w:top w:type="dxa" w:w="80"/>
              <w:left w:type="dxa" w:w="100"/>
              <w:bottom w:type="dxa" w:w="80"/>
              <w:right w:type="dxa" w:w="100"/>
            </w:tcMar>
          </w:tcPr>
          <w:p>
            <w:pPr>
              <w:jc w:val="left"/>
            </w:pPr>
            <w:r>
              <w:rPr>
                <w:b/>
                <w:bCs/>
                <w:sz w:val="20"/>
                <w:szCs w:val="20"/>
              </w:rPr>
              <w:t xml:space="preserve">Technology</w:t>
            </w:r>
          </w:p>
        </w:tc>
      </w:tr>
      <w:tr>
        <w:tc>
          <w:tcPr>
            <w:tcW w:type="dxa" w:w="2600"/>
            <w:tcMar>
              <w:top w:type="dxa" w:w="80"/>
              <w:left w:type="dxa" w:w="100"/>
              <w:bottom w:type="dxa" w:w="80"/>
              <w:right w:type="dxa" w:w="100"/>
            </w:tcMar>
          </w:tcPr>
          <w:p>
            <w:pPr>
              <w:jc w:val="left"/>
            </w:pPr>
            <w:r>
              <w:rPr>
                <w:b w:val="false"/>
                <w:bCs w:val="false"/>
                <w:sz w:val="20"/>
                <w:szCs w:val="20"/>
              </w:rPr>
              <w:t xml:space="preserve">Application framework</w:t>
            </w:r>
          </w:p>
        </w:tc>
        <w:tc>
          <w:tcPr>
            <w:tcW w:type="dxa" w:w="7400"/>
            <w:tcMar>
              <w:top w:type="dxa" w:w="80"/>
              <w:left w:type="dxa" w:w="100"/>
              <w:bottom w:type="dxa" w:w="80"/>
              <w:right w:type="dxa" w:w="100"/>
            </w:tcMar>
          </w:tcPr>
          <w:p>
            <w:pPr>
              <w:jc w:val="left"/>
            </w:pPr>
            <w:r>
              <w:rPr>
                <w:b w:val="false"/>
                <w:bCs w:val="false"/>
                <w:sz w:val="20"/>
                <w:szCs w:val="20"/>
              </w:rPr>
              <w:t xml:space="preserve">Next.js 16 (Turbopack), TypeScript, React 19</w:t>
            </w:r>
          </w:p>
        </w:tc>
      </w:tr>
      <w:tr>
        <w:tc>
          <w:tcPr>
            <w:tcW w:type="dxa" w:w="2600"/>
            <w:tcMar>
              <w:top w:type="dxa" w:w="80"/>
              <w:left w:type="dxa" w:w="100"/>
              <w:bottom w:type="dxa" w:w="80"/>
              <w:right w:type="dxa" w:w="100"/>
            </w:tcMar>
          </w:tcPr>
          <w:p>
            <w:pPr>
              <w:jc w:val="left"/>
            </w:pPr>
            <w:r>
              <w:rPr>
                <w:b w:val="false"/>
                <w:bCs w:val="false"/>
                <w:sz w:val="20"/>
                <w:szCs w:val="20"/>
              </w:rPr>
              <w:t xml:space="preserve">Website scraping</w:t>
            </w:r>
          </w:p>
        </w:tc>
        <w:tc>
          <w:tcPr>
            <w:tcW w:type="dxa" w:w="7400"/>
            <w:tcMar>
              <w:top w:type="dxa" w:w="80"/>
              <w:left w:type="dxa" w:w="100"/>
              <w:bottom w:type="dxa" w:w="80"/>
              <w:right w:type="dxa" w:w="100"/>
            </w:tcMar>
          </w:tcPr>
          <w:p>
            <w:pPr>
              <w:jc w:val="left"/>
            </w:pPr>
            <w:r>
              <w:rPr>
                <w:b w:val="false"/>
                <w:bCs w:val="false"/>
                <w:sz w:val="20"/>
                <w:szCs w:val="20"/>
              </w:rPr>
              <w:t xml:space="preserve">Firecrawl, with Jina Reader and direct-fetch fallbacks</w:t>
            </w:r>
          </w:p>
        </w:tc>
      </w:tr>
      <w:tr>
        <w:tc>
          <w:tcPr>
            <w:tcW w:type="dxa" w:w="2600"/>
            <w:tcMar>
              <w:top w:type="dxa" w:w="80"/>
              <w:left w:type="dxa" w:w="100"/>
              <w:bottom w:type="dxa" w:w="80"/>
              <w:right w:type="dxa" w:w="100"/>
            </w:tcMar>
          </w:tcPr>
          <w:p>
            <w:pPr>
              <w:jc w:val="left"/>
            </w:pPr>
            <w:r>
              <w:rPr>
                <w:b w:val="false"/>
                <w:bCs w:val="false"/>
                <w:sz w:val="20"/>
                <w:szCs w:val="20"/>
              </w:rPr>
              <w:t xml:space="preserve">External research / search</w:t>
            </w:r>
          </w:p>
        </w:tc>
        <w:tc>
          <w:tcPr>
            <w:tcW w:type="dxa" w:w="7400"/>
            <w:tcMar>
              <w:top w:type="dxa" w:w="80"/>
              <w:left w:type="dxa" w:w="100"/>
              <w:bottom w:type="dxa" w:w="80"/>
              <w:right w:type="dxa" w:w="100"/>
            </w:tcMar>
          </w:tcPr>
          <w:p>
            <w:pPr>
              <w:jc w:val="left"/>
            </w:pPr>
            <w:r>
              <w:rPr>
                <w:b w:val="false"/>
                <w:bCs w:val="false"/>
                <w:sz w:val="20"/>
                <w:szCs w:val="20"/>
              </w:rPr>
              <w:t xml:space="preserve">Tavily (primary), Serper (fallback)</w:t>
            </w:r>
          </w:p>
        </w:tc>
      </w:tr>
      <w:tr>
        <w:tc>
          <w:tcPr>
            <w:tcW w:type="dxa" w:w="2600"/>
            <w:tcMar>
              <w:top w:type="dxa" w:w="80"/>
              <w:left w:type="dxa" w:w="100"/>
              <w:bottom w:type="dxa" w:w="80"/>
              <w:right w:type="dxa" w:w="100"/>
            </w:tcMar>
          </w:tcPr>
          <w:p>
            <w:pPr>
              <w:jc w:val="left"/>
            </w:pPr>
            <w:r>
              <w:rPr>
                <w:b w:val="false"/>
                <w:bCs w:val="false"/>
                <w:sz w:val="20"/>
                <w:szCs w:val="20"/>
              </w:rPr>
              <w:t xml:space="preserve">AI / LLM inference</w:t>
            </w:r>
          </w:p>
        </w:tc>
        <w:tc>
          <w:tcPr>
            <w:tcW w:type="dxa" w:w="7400"/>
            <w:tcMar>
              <w:top w:type="dxa" w:w="80"/>
              <w:left w:type="dxa" w:w="100"/>
              <w:bottom w:type="dxa" w:w="80"/>
              <w:right w:type="dxa" w:w="100"/>
            </w:tcMar>
          </w:tcPr>
          <w:p>
            <w:pPr>
              <w:jc w:val="left"/>
            </w:pPr>
            <w:r>
              <w:rPr>
                <w:b w:val="false"/>
                <w:bCs w:val="false"/>
                <w:sz w:val="20"/>
                <w:szCs w:val="20"/>
              </w:rPr>
              <w:t xml:space="preserve">NVIDIA NIM and OpenRouter as pluggable providers</w:t>
            </w:r>
          </w:p>
        </w:tc>
      </w:tr>
      <w:tr>
        <w:tc>
          <w:tcPr>
            <w:tcW w:type="dxa" w:w="2600"/>
            <w:tcMar>
              <w:top w:type="dxa" w:w="80"/>
              <w:left w:type="dxa" w:w="100"/>
              <w:bottom w:type="dxa" w:w="80"/>
              <w:right w:type="dxa" w:w="100"/>
            </w:tcMar>
          </w:tcPr>
          <w:p>
            <w:pPr>
              <w:jc w:val="left"/>
            </w:pPr>
            <w:r>
              <w:rPr>
                <w:b w:val="false"/>
                <w:bCs w:val="false"/>
                <w:sz w:val="20"/>
                <w:szCs w:val="20"/>
              </w:rPr>
              <w:t xml:space="preserve">Data storage</w:t>
            </w:r>
          </w:p>
        </w:tc>
        <w:tc>
          <w:tcPr>
            <w:tcW w:type="dxa" w:w="7400"/>
            <w:tcMar>
              <w:top w:type="dxa" w:w="80"/>
              <w:left w:type="dxa" w:w="100"/>
              <w:bottom w:type="dxa" w:w="80"/>
              <w:right w:type="dxa" w:w="100"/>
            </w:tcMar>
          </w:tcPr>
          <w:p>
            <w:pPr>
              <w:jc w:val="left"/>
            </w:pPr>
            <w:r>
              <w:rPr>
                <w:b w:val="false"/>
                <w:bCs w:val="false"/>
                <w:sz w:val="20"/>
                <w:szCs w:val="20"/>
              </w:rPr>
              <w:t xml:space="preserve">Supabase (Postgres) — run history, scrape cache</w:t>
            </w:r>
          </w:p>
        </w:tc>
      </w:tr>
      <w:tr>
        <w:tc>
          <w:tcPr>
            <w:tcW w:type="dxa" w:w="2600"/>
            <w:tcMar>
              <w:top w:type="dxa" w:w="80"/>
              <w:left w:type="dxa" w:w="100"/>
              <w:bottom w:type="dxa" w:w="80"/>
              <w:right w:type="dxa" w:w="100"/>
            </w:tcMar>
          </w:tcPr>
          <w:p>
            <w:pPr>
              <w:jc w:val="left"/>
            </w:pPr>
            <w:r>
              <w:rPr>
                <w:b w:val="false"/>
                <w:bCs w:val="false"/>
                <w:sz w:val="20"/>
                <w:szCs w:val="20"/>
              </w:rPr>
              <w:t xml:space="preserve">Batch file parsing</w:t>
            </w:r>
          </w:p>
        </w:tc>
        <w:tc>
          <w:tcPr>
            <w:tcW w:type="dxa" w:w="7400"/>
            <w:tcMar>
              <w:top w:type="dxa" w:w="80"/>
              <w:left w:type="dxa" w:w="100"/>
              <w:bottom w:type="dxa" w:w="80"/>
              <w:right w:type="dxa" w:w="100"/>
            </w:tcMar>
          </w:tcPr>
          <w:p>
            <w:pPr>
              <w:jc w:val="left"/>
            </w:pPr>
            <w:r>
              <w:rPr>
                <w:b w:val="false"/>
                <w:bCs w:val="false"/>
                <w:sz w:val="20"/>
                <w:szCs w:val="20"/>
              </w:rPr>
              <w:t xml:space="preserve">exceljs (xlsx), papaparse (csv), mammoth (docx), pdf-parse (pdf)</w:t>
            </w:r>
          </w:p>
        </w:tc>
      </w:tr>
      <w:tr>
        <w:tc>
          <w:tcPr>
            <w:tcW w:type="dxa" w:w="2600"/>
            <w:tcMar>
              <w:top w:type="dxa" w:w="80"/>
              <w:left w:type="dxa" w:w="100"/>
              <w:bottom w:type="dxa" w:w="80"/>
              <w:right w:type="dxa" w:w="100"/>
            </w:tcMar>
          </w:tcPr>
          <w:p>
            <w:pPr>
              <w:jc w:val="left"/>
            </w:pPr>
            <w:r>
              <w:rPr>
                <w:b w:val="false"/>
                <w:bCs w:val="false"/>
                <w:sz w:val="20"/>
                <w:szCs w:val="20"/>
              </w:rPr>
              <w:t xml:space="preserve">Testing</w:t>
            </w:r>
          </w:p>
        </w:tc>
        <w:tc>
          <w:tcPr>
            <w:tcW w:type="dxa" w:w="7400"/>
            <w:tcMar>
              <w:top w:type="dxa" w:w="80"/>
              <w:left w:type="dxa" w:w="100"/>
              <w:bottom w:type="dxa" w:w="80"/>
              <w:right w:type="dxa" w:w="100"/>
            </w:tcMar>
          </w:tcPr>
          <w:p>
            <w:pPr>
              <w:jc w:val="left"/>
            </w:pPr>
            <w:r>
              <w:rPr>
                <w:b w:val="false"/>
                <w:bCs w:val="false"/>
                <w:sz w:val="20"/>
                <w:szCs w:val="20"/>
              </w:rPr>
              <w:t xml:space="preserve">vitest (introduced this session — the repo’s first automated tests)</w:t>
            </w:r>
          </w:p>
        </w:tc>
      </w:tr>
    </w:tbl>
    <w:p>
      <w:r>
        <w:br w:type="page"/>
      </w:r>
    </w:p>
    <w:p>
      <w:pPr>
        <w:pStyle w:val="Heading1"/>
        <w:spacing w:after="200" w:before="400"/>
      </w:pPr>
      <w:r>
        <w:t xml:space="preserve">5. Development History</w:t>
      </w:r>
    </w:p>
    <w:p>
      <w:pPr>
        <w:spacing w:after="160"/>
      </w:pPr>
      <w:r>
        <w:t xml:space="preserve">The project has moved through a small number of distinct phases, each captured as its own commit(s):</w:t>
      </w:r>
    </w:p>
    <w:p>
      <w:pPr>
        <w:pStyle w:val="Heading3"/>
        <w:spacing w:after="100" w:before="200"/>
      </w:pPr>
      <w:r>
        <w:t xml:space="preserve">Phase 0 — Initial build</w:t>
      </w:r>
    </w:p>
    <w:p>
      <w:pPr>
        <w:spacing w:after="160"/>
      </w:pPr>
      <w:r>
        <w:t xml:space="preserve">The core pipeline was scaffolded in a single large commit: scraper, deterministic signal extraction, synthesis layer, admin UI, and a benchmark harness against 6 target companies.</w:t>
      </w:r>
    </w:p>
    <w:p>
      <w:pPr>
        <w:pStyle w:val="Heading3"/>
        <w:spacing w:after="100" w:before="200"/>
      </w:pPr>
      <w:r>
        <w:t xml:space="preserve">Phase A — Business context &amp; scope-locking</w:t>
      </w:r>
    </w:p>
    <w:p>
      <w:pPr>
        <w:pStyle w:val="ListParagraph"/>
        <w:numPr>
          <w:ilvl w:val="0"/>
          <w:numId w:val="2"/>
        </w:numPr>
        <w:spacing w:after="80"/>
      </w:pPr>
      <w:r>
        <w:t xml:space="preserve">The Demaze capability map (the 8 real service lines) and a service-to-outreach evidence mapping were documented and validated against real scraped data from all 6 benchmark companies.</w:t>
      </w:r>
    </w:p>
    <w:p>
      <w:pPr>
        <w:pStyle w:val="ListParagraph"/>
        <w:numPr>
          <w:ilvl w:val="0"/>
          <w:numId w:val="2"/>
        </w:numPr>
        <w:spacing w:after="80"/>
      </w:pPr>
      <w:r>
        <w:t xml:space="preserve">A scope decision was made and locked: buyer/contact selection and website-conflict-resolution were evaluated and explicitly cancelled as out-of-scope; the 5-field output schema was locked.</w:t>
      </w:r>
    </w:p>
    <w:p>
      <w:pPr>
        <w:pStyle w:val="Heading3"/>
        <w:spacing w:after="100" w:before="200"/>
      </w:pPr>
      <w:r>
        <w:t xml:space="preserve">Phase B — Classifier bug-fixing wave</w:t>
      </w:r>
    </w:p>
    <w:p>
      <w:pPr>
        <w:spacing w:after="160"/>
      </w:pPr>
      <w:r>
        <w:t xml:space="preserve">A cluster of real, evidence-backed bugs were found and fixed by reading actual scraped content, not by guessing:</w:t>
      </w:r>
    </w:p>
    <w:p>
      <w:pPr>
        <w:pStyle w:val="ListParagraph"/>
        <w:numPr>
          <w:ilvl w:val="0"/>
          <w:numId w:val="2"/>
        </w:numPr>
        <w:spacing w:after="80"/>
      </w:pPr>
      <w:r>
        <w:t xml:space="preserve">A short-keyword substring bug in the URL classifier (e.g. "ir" inside "wire" being scored as an investor-relations page) — fixed with word-boundary matching.</w:t>
      </w:r>
    </w:p>
    <w:p>
      <w:pPr>
        <w:pStyle w:val="ListParagraph"/>
        <w:numPr>
          <w:ilvl w:val="0"/>
          <w:numId w:val="2"/>
        </w:numPr>
        <w:spacing w:after="80"/>
      </w:pPr>
      <w:r>
        <w:t xml:space="preserve">A classification-priority bug where generic phrases like "diverse sectors" caused real manufacturers to be mis-labeled as conglomerates — fixed in two passes (first for one category, then for five more that had the identical bug).</w:t>
      </w:r>
    </w:p>
    <w:p>
      <w:pPr>
        <w:pStyle w:val="ListParagraph"/>
        <w:numPr>
          <w:ilvl w:val="0"/>
          <w:numId w:val="2"/>
        </w:numPr>
        <w:spacing w:after="80"/>
      </w:pPr>
      <w:r>
        <w:t xml:space="preserve">A third-person self-reference recognition gap that caused some companies’ own "about" page content to be missed as valid evidence.</w:t>
      </w:r>
    </w:p>
    <w:p>
      <w:pPr>
        <w:pStyle w:val="ListParagraph"/>
        <w:numPr>
          <w:ilvl w:val="0"/>
          <w:numId w:val="2"/>
        </w:numPr>
        <w:spacing w:after="80"/>
      </w:pPr>
      <w:r>
        <w:t xml:space="preserve">An LLM response failure (JSON truncated by a token-budget limit) that was hard-failing the pipeline — changed to retry with a larger token budget and degrade gracefully instead.</w:t>
      </w:r>
    </w:p>
    <w:p>
      <w:pPr>
        <w:pStyle w:val="ListParagraph"/>
        <w:numPr>
          <w:ilvl w:val="0"/>
          <w:numId w:val="2"/>
        </w:numPr>
        <w:spacing w:after="80"/>
      </w:pPr>
      <w:r>
        <w:t xml:space="preserve">The opportunity-generation engine was found to be inventing roughly 20 plausible-sounding but entirely fictional service names instead of using Demaze’s real 8 — rebuilt from scratch against real evidence, with an explicit confidence threshold so weak matches don’t surface.</w:t>
      </w:r>
    </w:p>
    <w:p>
      <w:pPr>
        <w:pStyle w:val="Heading3"/>
        <w:spacing w:after="100" w:before="200"/>
      </w:pPr>
      <w:r>
        <w:t xml:space="preserve">Phase C — Flexible input &amp; schema completion</w:t>
      </w:r>
    </w:p>
    <w:p>
      <w:pPr>
        <w:pStyle w:val="ListParagraph"/>
        <w:numPr>
          <w:ilvl w:val="0"/>
          <w:numId w:val="2"/>
        </w:numPr>
        <w:spacing w:after="80"/>
      </w:pPr>
      <w:r>
        <w:t xml:space="preserve">Item 1: company-name-to-website discovery, so a lead can arrive as a name only, not just a URL. Deliberately conservative — ambiguous matches (e.g. two real companies with a near-identical name) are reported as ambiguous, never guessed.</w:t>
      </w:r>
    </w:p>
    <w:p>
      <w:pPr>
        <w:pStyle w:val="ListParagraph"/>
        <w:numPr>
          <w:ilvl w:val="0"/>
          <w:numId w:val="2"/>
        </w:numPr>
        <w:spacing w:after="80"/>
      </w:pPr>
      <w:r>
        <w:t xml:space="preserve">Item 6: the buyer/contact-field removal was completed in the actual code (prompts, types, normalization), not just the documentation.</w:t>
      </w:r>
    </w:p>
    <w:p>
      <w:pPr>
        <w:pStyle w:val="ListParagraph"/>
        <w:numPr>
          <w:ilvl w:val="0"/>
          <w:numId w:val="2"/>
        </w:numPr>
        <w:spacing w:after="80"/>
      </w:pPr>
      <w:r>
        <w:t xml:space="preserve">Item 7: batch lead-list upload — upload a real xlsx/csv/docx/pdf export, get it parsed and deduplicated, select which companies to research, and run them sequentially with progress tracking, automatic per-company persistence, and automatic pausing if 3 companies in a row hit the same API quota-exhaustion signature.</w:t>
      </w:r>
    </w:p>
    <w:p>
      <w:pPr>
        <w:pStyle w:val="Heading3"/>
        <w:spacing w:after="100" w:before="200"/>
      </w:pPr>
      <w:r>
        <w:t xml:space="preserve">Phase D — Verification discipline &amp; Item 2</w:t>
      </w:r>
    </w:p>
    <w:p>
      <w:pPr>
        <w:spacing w:after="160"/>
      </w:pPr>
      <w:r>
        <w:t xml:space="preserve">This most recent phase focused on closing out unverified claims rather than adding new surface area. A real batch research run was driven through the actual UI (not mocked) to independently confirm the progress indicator, per-company status transitions, and run-history persistence. A dedicated unit-test suite (17 assertions) was written to close out the one thing that couldn’t safely be verified live — quota-pause behavior — without deliberately burning real API quota to force the condition. This also introduced vitest as the project’s first real test infrastructure.</w:t>
      </w:r>
    </w:p>
    <w:p>
      <w:pPr>
        <w:spacing w:after="160"/>
      </w:pPr>
      <w:r>
        <w:t xml:space="preserve">The phase closed with Item 2: repositioning external research (enrichment) to run genuinely in parallel with website scraping, instead of starting only after scraping finished. Measured on a real, non-cached run against a known slow site: external research (19.6s) fully completed while scraping was still running (45.6s), for a measured ~20-second, ~22% reduction in total research time per company — plus a secondary quality win, since research now more often makes it into the AI’s first analysis pass instead of arriving too late to be used there.</w:t>
      </w:r>
    </w:p>
    <w:p>
      <w:r>
        <w:br w:type="page"/>
      </w:r>
    </w:p>
    <w:p>
      <w:pPr>
        <w:pStyle w:val="Heading1"/>
        <w:spacing w:after="200" w:before="400"/>
      </w:pPr>
      <w:r>
        <w:t xml:space="preserve">6. Current Status &amp; Verification Standard</w:t>
      </w:r>
    </w:p>
    <w:p>
      <w:pPr>
        <w:spacing w:after="160"/>
      </w:pPr>
      <w:r>
        <w:t xml:space="preserve">A consistent practice has been established for verifying changes: real browser interaction against the live application, real (not mocked) API calls where feasible, and cross-checking claims against independent evidence (e.g. confirming a database write actually happened by re-querying the row count, not just trusting a success message). Where a claim cannot be safely verified without spending real, limited API quota, that tradeoff is now made explicit and confirmed with the project owner before spending it, rather than either skipping verification or spending quota silently.</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6000"/>
      </w:tblGrid>
      <w:tr>
        <w:trPr>
          <w:tblHeader/>
        </w:trPr>
        <w:tc>
          <w:tcPr>
            <w:tcW w:type="dxa" w:w="4000"/>
            <w:shd w:fill="DDE6F5" w:val="clear"/>
            <w:tcMar>
              <w:top w:type="dxa" w:w="80"/>
              <w:left w:type="dxa" w:w="100"/>
              <w:bottom w:type="dxa" w:w="80"/>
              <w:right w:type="dxa" w:w="100"/>
            </w:tcMar>
          </w:tcPr>
          <w:p>
            <w:pPr>
              <w:jc w:val="left"/>
            </w:pPr>
            <w:r>
              <w:rPr>
                <w:b/>
                <w:bCs/>
                <w:sz w:val="20"/>
                <w:szCs w:val="20"/>
              </w:rPr>
              <w:t xml:space="preserve">Verified capability</w:t>
            </w:r>
          </w:p>
        </w:tc>
        <w:tc>
          <w:tcPr>
            <w:tcW w:type="dxa" w:w="6000"/>
            <w:shd w:fill="DDE6F5" w:val="clear"/>
            <w:tcMar>
              <w:top w:type="dxa" w:w="80"/>
              <w:left w:type="dxa" w:w="100"/>
              <w:bottom w:type="dxa" w:w="80"/>
              <w:right w:type="dxa" w:w="100"/>
            </w:tcMar>
          </w:tcPr>
          <w:p>
            <w:pPr>
              <w:jc w:val="left"/>
            </w:pPr>
            <w:r>
              <w:rPr>
                <w:b/>
                <w:bCs/>
                <w:sz w:val="20"/>
                <w:szCs w:val="20"/>
              </w:rPr>
              <w:t xml:space="preserve">How it was verified</w:t>
            </w:r>
          </w:p>
        </w:tc>
      </w:tr>
      <w:tr>
        <w:tc>
          <w:tcPr>
            <w:tcW w:type="dxa" w:w="4000"/>
            <w:tcMar>
              <w:top w:type="dxa" w:w="80"/>
              <w:left w:type="dxa" w:w="100"/>
              <w:bottom w:type="dxa" w:w="80"/>
              <w:right w:type="dxa" w:w="100"/>
            </w:tcMar>
          </w:tcPr>
          <w:p>
            <w:pPr>
              <w:jc w:val="left"/>
            </w:pPr>
            <w:r>
              <w:rPr>
                <w:b w:val="false"/>
                <w:bCs w:val="false"/>
                <w:sz w:val="20"/>
                <w:szCs w:val="20"/>
              </w:rPr>
              <w:t xml:space="preserve">Website discovery (name → URL)</w:t>
            </w:r>
          </w:p>
        </w:tc>
        <w:tc>
          <w:tcPr>
            <w:tcW w:type="dxa" w:w="6000"/>
            <w:tcMar>
              <w:top w:type="dxa" w:w="80"/>
              <w:left w:type="dxa" w:w="100"/>
              <w:bottom w:type="dxa" w:w="80"/>
              <w:right w:type="dxa" w:w="100"/>
            </w:tcMar>
          </w:tcPr>
          <w:p>
            <w:pPr>
              <w:jc w:val="left"/>
            </w:pPr>
            <w:r>
              <w:rPr>
                <w:b w:val="false"/>
                <w:bCs w:val="false"/>
                <w:sz w:val="20"/>
                <w:szCs w:val="20"/>
              </w:rPr>
              <w:t xml:space="preserve">Tested against 6 known company names plus 3 deliberately hard cases (generic names, thin web presence); mixed, honest results — not a uniform pass</w:t>
            </w:r>
          </w:p>
        </w:tc>
      </w:tr>
      <w:tr>
        <w:tc>
          <w:tcPr>
            <w:tcW w:type="dxa" w:w="4000"/>
            <w:tcMar>
              <w:top w:type="dxa" w:w="80"/>
              <w:left w:type="dxa" w:w="100"/>
              <w:bottom w:type="dxa" w:w="80"/>
              <w:right w:type="dxa" w:w="100"/>
            </w:tcMar>
          </w:tcPr>
          <w:p>
            <w:pPr>
              <w:jc w:val="left"/>
            </w:pPr>
            <w:r>
              <w:rPr>
                <w:b w:val="false"/>
                <w:bCs w:val="false"/>
                <w:sz w:val="20"/>
                <w:szCs w:val="20"/>
              </w:rPr>
              <w:t xml:space="preserve">Batch upload: parse + dedupe</w:t>
            </w:r>
          </w:p>
        </w:tc>
        <w:tc>
          <w:tcPr>
            <w:tcW w:type="dxa" w:w="6000"/>
            <w:tcMar>
              <w:top w:type="dxa" w:w="80"/>
              <w:left w:type="dxa" w:w="100"/>
              <w:bottom w:type="dxa" w:w="80"/>
              <w:right w:type="dxa" w:w="100"/>
            </w:tcMar>
          </w:tcPr>
          <w:p>
            <w:pPr>
              <w:jc w:val="left"/>
            </w:pPr>
            <w:r>
              <w:rPr>
                <w:b w:val="false"/>
                <w:bCs w:val="false"/>
                <w:sz w:val="20"/>
                <w:szCs w:val="20"/>
              </w:rPr>
              <w:t xml:space="preserve">Real generated xlsx fixture with deliberately similar company names, confirmed correct duplicate-flagging behavior</w:t>
            </w:r>
          </w:p>
        </w:tc>
      </w:tr>
      <w:tr>
        <w:tc>
          <w:tcPr>
            <w:tcW w:type="dxa" w:w="4000"/>
            <w:tcMar>
              <w:top w:type="dxa" w:w="80"/>
              <w:left w:type="dxa" w:w="100"/>
              <w:bottom w:type="dxa" w:w="80"/>
              <w:right w:type="dxa" w:w="100"/>
            </w:tcMar>
          </w:tcPr>
          <w:p>
            <w:pPr>
              <w:jc w:val="left"/>
            </w:pPr>
            <w:r>
              <w:rPr>
                <w:b w:val="false"/>
                <w:bCs w:val="false"/>
                <w:sz w:val="20"/>
                <w:szCs w:val="20"/>
              </w:rPr>
              <w:t xml:space="preserve">Batch upload: sequential research + persistence</w:t>
            </w:r>
          </w:p>
        </w:tc>
        <w:tc>
          <w:tcPr>
            <w:tcW w:type="dxa" w:w="6000"/>
            <w:tcMar>
              <w:top w:type="dxa" w:w="80"/>
              <w:left w:type="dxa" w:w="100"/>
              <w:bottom w:type="dxa" w:w="80"/>
              <w:right w:type="dxa" w:w="100"/>
            </w:tcMar>
          </w:tcPr>
          <w:p>
            <w:pPr>
              <w:jc w:val="left"/>
            </w:pPr>
            <w:r>
              <w:rPr>
                <w:b w:val="false"/>
                <w:bCs w:val="false"/>
                <w:sz w:val="20"/>
                <w:szCs w:val="20"/>
              </w:rPr>
              <w:t xml:space="preserve">Real 3-company live run through the actual UI; run-history count independently confirmed to increase by exactly 3</w:t>
            </w:r>
          </w:p>
        </w:tc>
      </w:tr>
      <w:tr>
        <w:tc>
          <w:tcPr>
            <w:tcW w:type="dxa" w:w="4000"/>
            <w:tcMar>
              <w:top w:type="dxa" w:w="80"/>
              <w:left w:type="dxa" w:w="100"/>
              <w:bottom w:type="dxa" w:w="80"/>
              <w:right w:type="dxa" w:w="100"/>
            </w:tcMar>
          </w:tcPr>
          <w:p>
            <w:pPr>
              <w:jc w:val="left"/>
            </w:pPr>
            <w:r>
              <w:rPr>
                <w:b w:val="false"/>
                <w:bCs w:val="false"/>
                <w:sz w:val="20"/>
                <w:szCs w:val="20"/>
              </w:rPr>
              <w:t xml:space="preserve">Quota-pause detection</w:t>
            </w:r>
          </w:p>
        </w:tc>
        <w:tc>
          <w:tcPr>
            <w:tcW w:type="dxa" w:w="6000"/>
            <w:tcMar>
              <w:top w:type="dxa" w:w="80"/>
              <w:left w:type="dxa" w:w="100"/>
              <w:bottom w:type="dxa" w:w="80"/>
              <w:right w:type="dxa" w:w="100"/>
            </w:tcMar>
          </w:tcPr>
          <w:p>
            <w:pPr>
              <w:jc w:val="left"/>
            </w:pPr>
            <w:r>
              <w:rPr>
                <w:b w:val="false"/>
                <w:bCs w:val="false"/>
                <w:sz w:val="20"/>
                <w:szCs w:val="20"/>
              </w:rPr>
              <w:t xml:space="preserve">17 unit-test assertions against simulated API failure shapes, since forcing the real condition would require deliberately exhausting API quota</w:t>
            </w:r>
          </w:p>
        </w:tc>
      </w:tr>
      <w:tr>
        <w:tc>
          <w:tcPr>
            <w:tcW w:type="dxa" w:w="4000"/>
            <w:tcMar>
              <w:top w:type="dxa" w:w="80"/>
              <w:left w:type="dxa" w:w="100"/>
              <w:bottom w:type="dxa" w:w="80"/>
              <w:right w:type="dxa" w:w="100"/>
            </w:tcMar>
          </w:tcPr>
          <w:p>
            <w:pPr>
              <w:jc w:val="left"/>
            </w:pPr>
            <w:r>
              <w:rPr>
                <w:b w:val="false"/>
                <w:bCs w:val="false"/>
                <w:sz w:val="20"/>
                <w:szCs w:val="20"/>
              </w:rPr>
              <w:t xml:space="preserve">Parallel enrichment (Item 2)</w:t>
            </w:r>
          </w:p>
        </w:tc>
        <w:tc>
          <w:tcPr>
            <w:tcW w:type="dxa" w:w="6000"/>
            <w:tcMar>
              <w:top w:type="dxa" w:w="80"/>
              <w:left w:type="dxa" w:w="100"/>
              <w:bottom w:type="dxa" w:w="80"/>
              <w:right w:type="dxa" w:w="100"/>
            </w:tcMar>
          </w:tcPr>
          <w:p>
            <w:pPr>
              <w:jc w:val="left"/>
            </w:pPr>
            <w:r>
              <w:rPr>
                <w:b w:val="false"/>
                <w:bCs w:val="false"/>
                <w:sz w:val="20"/>
                <w:szCs w:val="20"/>
              </w:rPr>
              <w:t xml:space="preserve">Two cached-scrape correctness runs (zero API cost) plus one real, quota-spending run confirming the measured timing win</w:t>
            </w:r>
          </w:p>
        </w:tc>
      </w:tr>
    </w:tbl>
    <w:p>
      <w:pPr>
        <w:pStyle w:val="Heading1"/>
        <w:spacing w:after="200" w:before="400"/>
      </w:pPr>
      <w:r>
        <w:t xml:space="preserve">7. Known Issues &amp; Gaps</w:t>
      </w:r>
    </w:p>
    <w:p>
      <w:pPr>
        <w:spacing w:after="160"/>
      </w:pPr>
      <w:r>
        <w:t xml:space="preserve">These are tracked openly rather than papered over — the project’s stated goal (see Section 9) is honest, graceful degradation, not a misleadingly clean scoreboard.</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6600"/>
      </w:tblGrid>
      <w:tr>
        <w:trPr>
          <w:tblHeader/>
        </w:trPr>
        <w:tc>
          <w:tcPr>
            <w:tcW w:type="dxa" w:w="3400"/>
            <w:shd w:fill="DDE6F5" w:val="clear"/>
            <w:tcMar>
              <w:top w:type="dxa" w:w="80"/>
              <w:left w:type="dxa" w:w="100"/>
              <w:bottom w:type="dxa" w:w="80"/>
              <w:right w:type="dxa" w:w="100"/>
            </w:tcMar>
          </w:tcPr>
          <w:p>
            <w:pPr>
              <w:jc w:val="left"/>
            </w:pPr>
            <w:r>
              <w:rPr>
                <w:b/>
                <w:bCs/>
                <w:sz w:val="20"/>
                <w:szCs w:val="20"/>
              </w:rPr>
              <w:t xml:space="preserve">Issue</w:t>
            </w:r>
          </w:p>
        </w:tc>
        <w:tc>
          <w:tcPr>
            <w:tcW w:type="dxa" w:w="6600"/>
            <w:shd w:fill="DDE6F5" w:val="clear"/>
            <w:tcMar>
              <w:top w:type="dxa" w:w="80"/>
              <w:left w:type="dxa" w:w="100"/>
              <w:bottom w:type="dxa" w:w="80"/>
              <w:right w:type="dxa" w:w="100"/>
            </w:tcMar>
          </w:tcPr>
          <w:p>
            <w:pPr>
              <w:jc w:val="left"/>
            </w:pPr>
            <w:r>
              <w:rPr>
                <w:b/>
                <w:bCs/>
                <w:sz w:val="20"/>
                <w:szCs w:val="20"/>
              </w:rPr>
              <w:t xml:space="preserve">Status</w:t>
            </w:r>
          </w:p>
        </w:tc>
      </w:tr>
      <w:tr>
        <w:tc>
          <w:tcPr>
            <w:tcW w:type="dxa" w:w="3400"/>
            <w:tcMar>
              <w:top w:type="dxa" w:w="80"/>
              <w:left w:type="dxa" w:w="100"/>
              <w:bottom w:type="dxa" w:w="80"/>
              <w:right w:type="dxa" w:w="100"/>
            </w:tcMar>
          </w:tcPr>
          <w:p>
            <w:pPr>
              <w:jc w:val="left"/>
            </w:pPr>
            <w:r>
              <w:rPr>
                <w:b w:val="false"/>
                <w:bCs w:val="false"/>
                <w:sz w:val="20"/>
                <w:szCs w:val="20"/>
              </w:rPr>
              <w:t xml:space="preserve">PDF sources (annual reports, investor decks — the two highest-priority external source types) are silently dropped</w:t>
            </w:r>
          </w:p>
        </w:tc>
        <w:tc>
          <w:tcPr>
            <w:tcW w:type="dxa" w:w="6600"/>
            <w:tcMar>
              <w:top w:type="dxa" w:w="80"/>
              <w:left w:type="dxa" w:w="100"/>
              <w:bottom w:type="dxa" w:w="80"/>
              <w:right w:type="dxa" w:w="100"/>
            </w:tcMar>
          </w:tcPr>
          <w:p>
            <w:pPr>
              <w:jc w:val="left"/>
            </w:pPr>
            <w:r>
              <w:rPr>
                <w:b w:val="false"/>
                <w:bCs w:val="false"/>
                <w:sz w:val="20"/>
                <w:szCs w:val="20"/>
              </w:rPr>
              <w:t xml:space="preserve">Not started — next planned item (Item 3)</w:t>
            </w:r>
          </w:p>
        </w:tc>
      </w:tr>
      <w:tr>
        <w:tc>
          <w:tcPr>
            <w:tcW w:type="dxa" w:w="3400"/>
            <w:tcMar>
              <w:top w:type="dxa" w:w="80"/>
              <w:left w:type="dxa" w:w="100"/>
              <w:bottom w:type="dxa" w:w="80"/>
              <w:right w:type="dxa" w:w="100"/>
            </w:tcMar>
          </w:tcPr>
          <w:p>
            <w:pPr>
              <w:jc w:val="left"/>
            </w:pPr>
            <w:r>
              <w:rPr>
                <w:b w:val="false"/>
                <w:bCs w:val="false"/>
                <w:sz w:val="20"/>
                <w:szCs w:val="20"/>
              </w:rPr>
              <w:t xml:space="preserve">No dedicated search template for executive-change announcements; investor-call transcripts only surface incidentally</w:t>
            </w:r>
          </w:p>
        </w:tc>
        <w:tc>
          <w:tcPr>
            <w:tcW w:type="dxa" w:w="6600"/>
            <w:tcMar>
              <w:top w:type="dxa" w:w="80"/>
              <w:left w:type="dxa" w:w="100"/>
              <w:bottom w:type="dxa" w:w="80"/>
              <w:right w:type="dxa" w:w="100"/>
            </w:tcMar>
          </w:tcPr>
          <w:p>
            <w:pPr>
              <w:jc w:val="left"/>
            </w:pPr>
            <w:r>
              <w:rPr>
                <w:b w:val="false"/>
                <w:bCs w:val="false"/>
                <w:sz w:val="20"/>
                <w:szCs w:val="20"/>
              </w:rPr>
              <w:t xml:space="preserve">Not started (Item 4)</w:t>
            </w:r>
          </w:p>
        </w:tc>
      </w:tr>
      <w:tr>
        <w:tc>
          <w:tcPr>
            <w:tcW w:type="dxa" w:w="3400"/>
            <w:tcMar>
              <w:top w:type="dxa" w:w="80"/>
              <w:left w:type="dxa" w:w="100"/>
              <w:bottom w:type="dxa" w:w="80"/>
              <w:right w:type="dxa" w:w="100"/>
            </w:tcMar>
          </w:tcPr>
          <w:p>
            <w:pPr>
              <w:jc w:val="left"/>
            </w:pPr>
            <w:r>
              <w:rPr>
                <w:b w:val="false"/>
                <w:bCs w:val="false"/>
                <w:sz w:val="20"/>
                <w:szCs w:val="20"/>
              </w:rPr>
              <w:t xml:space="preserve">Some sites fail to scrape entirely (e.g. a fetch failure on one benchmark company, a separate scrape failure on another reference company)</w:t>
            </w:r>
          </w:p>
        </w:tc>
        <w:tc>
          <w:tcPr>
            <w:tcW w:type="dxa" w:w="6600"/>
            <w:tcMar>
              <w:top w:type="dxa" w:w="80"/>
              <w:left w:type="dxa" w:w="100"/>
              <w:bottom w:type="dxa" w:w="80"/>
              <w:right w:type="dxa" w:w="100"/>
            </w:tcMar>
          </w:tcPr>
          <w:p>
            <w:pPr>
              <w:jc w:val="left"/>
            </w:pPr>
            <w:r>
              <w:rPr>
                <w:b w:val="false"/>
                <w:bCs w:val="false"/>
                <w:sz w:val="20"/>
                <w:szCs w:val="20"/>
              </w:rPr>
              <w:t xml:space="preserve">Each needs its own root-cause investigation — not yet done</w:t>
            </w:r>
          </w:p>
        </w:tc>
      </w:tr>
      <w:tr>
        <w:tc>
          <w:tcPr>
            <w:tcW w:type="dxa" w:w="3400"/>
            <w:tcMar>
              <w:top w:type="dxa" w:w="80"/>
              <w:left w:type="dxa" w:w="100"/>
              <w:bottom w:type="dxa" w:w="80"/>
              <w:right w:type="dxa" w:w="100"/>
            </w:tcMar>
          </w:tcPr>
          <w:p>
            <w:pPr>
              <w:jc w:val="left"/>
            </w:pPr>
            <w:r>
              <w:rPr>
                <w:b w:val="false"/>
                <w:bCs w:val="false"/>
                <w:sz w:val="20"/>
                <w:szCs w:val="20"/>
              </w:rPr>
              <w:t xml:space="preserve">Benchmark fixture files: 3 of 6 files no longer match their filenames (naming drift), and the original 3-company reference set isn’t in the automated benchmark run</w:t>
            </w:r>
          </w:p>
        </w:tc>
        <w:tc>
          <w:tcPr>
            <w:tcW w:type="dxa" w:w="6600"/>
            <w:tcMar>
              <w:top w:type="dxa" w:w="80"/>
              <w:left w:type="dxa" w:w="100"/>
              <w:bottom w:type="dxa" w:w="80"/>
              <w:right w:type="dxa" w:w="100"/>
            </w:tcMar>
          </w:tcPr>
          <w:p>
            <w:pPr>
              <w:jc w:val="left"/>
            </w:pPr>
            <w:r>
              <w:rPr>
                <w:b w:val="false"/>
                <w:bCs w:val="false"/>
                <w:sz w:val="20"/>
                <w:szCs w:val="20"/>
              </w:rPr>
              <w:t xml:space="preserve">Regression coverage for those is currently manual only</w:t>
            </w:r>
          </w:p>
        </w:tc>
      </w:tr>
      <w:tr>
        <w:tc>
          <w:tcPr>
            <w:tcW w:type="dxa" w:w="3400"/>
            <w:tcMar>
              <w:top w:type="dxa" w:w="80"/>
              <w:left w:type="dxa" w:w="100"/>
              <w:bottom w:type="dxa" w:w="80"/>
              <w:right w:type="dxa" w:w="100"/>
            </w:tcMar>
          </w:tcPr>
          <w:p>
            <w:pPr>
              <w:jc w:val="left"/>
            </w:pPr>
            <w:r>
              <w:rPr>
                <w:b w:val="false"/>
                <w:bCs w:val="false"/>
                <w:sz w:val="20"/>
                <w:szCs w:val="20"/>
              </w:rPr>
              <w:t xml:space="preserve">A URL-classification edge case (homepage pages sometimes mislabeled) is known but deliberately not fixed in isolation, since a naive fix would regress a working benchmark company</w:t>
            </w:r>
          </w:p>
        </w:tc>
        <w:tc>
          <w:tcPr>
            <w:tcW w:type="dxa" w:w="6600"/>
            <w:tcMar>
              <w:top w:type="dxa" w:w="80"/>
              <w:left w:type="dxa" w:w="100"/>
              <w:bottom w:type="dxa" w:w="80"/>
              <w:right w:type="dxa" w:w="100"/>
            </w:tcMar>
          </w:tcPr>
          <w:p>
            <w:pPr>
              <w:jc w:val="left"/>
            </w:pPr>
            <w:r>
              <w:rPr>
                <w:b w:val="false"/>
                <w:bCs w:val="false"/>
                <w:sz w:val="20"/>
                <w:szCs w:val="20"/>
              </w:rPr>
              <w:t xml:space="preserve">Needs a dedicated session that fixes two related bugs together</w:t>
            </w:r>
          </w:p>
        </w:tc>
      </w:tr>
      <w:tr>
        <w:tc>
          <w:tcPr>
            <w:tcW w:type="dxa" w:w="3400"/>
            <w:tcMar>
              <w:top w:type="dxa" w:w="80"/>
              <w:left w:type="dxa" w:w="100"/>
              <w:bottom w:type="dxa" w:w="80"/>
              <w:right w:type="dxa" w:w="100"/>
            </w:tcMar>
          </w:tcPr>
          <w:p>
            <w:pPr>
              <w:jc w:val="left"/>
            </w:pPr>
            <w:r>
              <w:rPr>
                <w:b w:val="false"/>
                <w:bCs w:val="false"/>
                <w:sz w:val="20"/>
                <w:szCs w:val="20"/>
              </w:rPr>
              <w:t xml:space="preserve">Government-filings APIs (EDGAR/MCA) as a research source</w:t>
            </w:r>
          </w:p>
        </w:tc>
        <w:tc>
          <w:tcPr>
            <w:tcW w:type="dxa" w:w="6600"/>
            <w:tcMar>
              <w:top w:type="dxa" w:w="80"/>
              <w:left w:type="dxa" w:w="100"/>
              <w:bottom w:type="dxa" w:w="80"/>
              <w:right w:type="dxa" w:w="100"/>
            </w:tcMar>
          </w:tcPr>
          <w:p>
            <w:pPr>
              <w:jc w:val="left"/>
            </w:pPr>
            <w:r>
              <w:rPr>
                <w:b w:val="false"/>
                <w:bCs w:val="false"/>
                <w:sz w:val="20"/>
                <w:szCs w:val="20"/>
              </w:rPr>
              <w:t xml:space="preserve">Explicitly deferred, logged as a future category — not being built now</w:t>
            </w:r>
          </w:p>
        </w:tc>
      </w:tr>
      <w:tr>
        <w:tc>
          <w:tcPr>
            <w:tcW w:type="dxa" w:w="3400"/>
            <w:tcMar>
              <w:top w:type="dxa" w:w="80"/>
              <w:left w:type="dxa" w:w="100"/>
              <w:bottom w:type="dxa" w:w="80"/>
              <w:right w:type="dxa" w:w="100"/>
            </w:tcMar>
          </w:tcPr>
          <w:p>
            <w:pPr>
              <w:jc w:val="left"/>
            </w:pPr>
            <w:r>
              <w:rPr>
                <w:b w:val="false"/>
                <w:bCs w:val="false"/>
                <w:sz w:val="20"/>
                <w:szCs w:val="20"/>
              </w:rPr>
              <w:t xml:space="preserve">Two evidence disqualifiers (very-small-company thresholds) are not enforced</w:t>
            </w:r>
          </w:p>
        </w:tc>
        <w:tc>
          <w:tcPr>
            <w:tcW w:type="dxa" w:w="6600"/>
            <w:tcMar>
              <w:top w:type="dxa" w:w="80"/>
              <w:left w:type="dxa" w:w="100"/>
              <w:bottom w:type="dxa" w:w="80"/>
              <w:right w:type="dxa" w:w="100"/>
            </w:tcMar>
          </w:tcPr>
          <w:p>
            <w:pPr>
              <w:jc w:val="left"/>
            </w:pPr>
            <w:r>
              <w:rPr>
                <w:b w:val="false"/>
                <w:bCs w:val="false"/>
                <w:sz w:val="20"/>
                <w:szCs w:val="20"/>
              </w:rPr>
              <w:t xml:space="preserve">Low priority — this signal isn’t reliably present in typical scraped content anyway</w:t>
            </w:r>
          </w:p>
        </w:tc>
      </w:tr>
    </w:tbl>
    <w:p>
      <w:pPr>
        <w:pStyle w:val="Heading1"/>
        <w:spacing w:after="200" w:before="400"/>
      </w:pPr>
      <w:r>
        <w:t xml:space="preserve">8. Explicitly and Permanently Out of Scope</w:t>
      </w:r>
    </w:p>
    <w:p>
      <w:pPr>
        <w:spacing w:after="160"/>
      </w:pPr>
      <w:r>
        <w:t xml:space="preserve">These were evaluated and deliberately rejected — not simply undiscussed:</w:t>
      </w:r>
    </w:p>
    <w:p>
      <w:pPr>
        <w:pStyle w:val="ListParagraph"/>
        <w:numPr>
          <w:ilvl w:val="0"/>
          <w:numId w:val="2"/>
        </w:numPr>
        <w:spacing w:after="80"/>
      </w:pPr>
      <w:r>
        <w:t xml:space="preserve">Determining or ranking WHO to contact at a company (buyer/stakeholder selection) — this always arrives as input data.</w:t>
      </w:r>
    </w:p>
    <w:p>
      <w:pPr>
        <w:pStyle w:val="ListParagraph"/>
        <w:numPr>
          <w:ilvl w:val="0"/>
          <w:numId w:val="2"/>
        </w:numPr>
        <w:spacing w:after="80"/>
      </w:pPr>
      <w:r>
        <w:t xml:space="preserve">Finding a person’s email address.</w:t>
      </w:r>
    </w:p>
    <w:p>
      <w:pPr>
        <w:pStyle w:val="ListParagraph"/>
        <w:numPr>
          <w:ilvl w:val="0"/>
          <w:numId w:val="2"/>
        </w:numPr>
        <w:spacing w:after="80"/>
      </w:pPr>
      <w:r>
        <w:t xml:space="preserve">Generating the outreach email itself.</w:t>
      </w:r>
    </w:p>
    <w:p>
      <w:pPr>
        <w:pStyle w:val="ListParagraph"/>
        <w:numPr>
          <w:ilvl w:val="0"/>
          <w:numId w:val="2"/>
        </w:numPr>
        <w:spacing w:after="80"/>
      </w:pPr>
      <w:r>
        <w:t xml:space="preserve">A quality-assurance agent for outreach content.</w:t>
      </w:r>
    </w:p>
    <w:p>
      <w:pPr>
        <w:pStyle w:val="ListParagraph"/>
        <w:numPr>
          <w:ilvl w:val="0"/>
          <w:numId w:val="2"/>
        </w:numPr>
        <w:spacing w:after="80"/>
      </w:pPr>
      <w:r>
        <w:t xml:space="preserve">Any mechanism to actually send outreach.</w:t>
      </w:r>
    </w:p>
    <w:p>
      <w:pPr>
        <w:pStyle w:val="ListParagraph"/>
        <w:numPr>
          <w:ilvl w:val="0"/>
          <w:numId w:val="2"/>
        </w:numPr>
        <w:spacing w:after="80"/>
      </w:pPr>
      <w:r>
        <w:t xml:space="preserve">LinkedIn-driven lead discovery — explicitly demoted; the project is not trying to replace Sales Navigator, and any proposal to build toward that is treated as a different business, to be flagged and stopped rather than built.</w:t>
      </w:r>
    </w:p>
    <w:p>
      <w:r>
        <w:br w:type="page"/>
      </w:r>
    </w:p>
    <w:p>
      <w:pPr>
        <w:pStyle w:val="Heading1"/>
        <w:spacing w:after="200" w:before="400"/>
      </w:pPr>
      <w:r>
        <w:t xml:space="preserve">9. What "Done" Actually Means Here</w:t>
      </w:r>
    </w:p>
    <w:p>
      <w:pPr>
        <w:spacing w:after="160"/>
      </w:pPr>
      <w:r>
        <w:t xml:space="preserve">The project’s stated goal is not a perfect benchmark scoreboard. It is: any company URL or name goes in, and usable intelligence reliably comes out — no hard crashes, no hard failures, and graceful degradation on the messy, real-world websites that don’t cooperate (broken sites, thin content, unusual page structures). Every validation gate in the pipeline is built around that principle: a stage that cannot produce its normal output should degrade and let the rest of the pipeline continue, not stop everything.</w:t>
      </w:r>
    </w:p>
    <w:p>
      <w:pPr>
        <w:pStyle w:val="Heading2"/>
        <w:spacing w:after="150" w:before="300"/>
      </w:pPr>
      <w:r>
        <w:t xml:space="preserve">Immediate next steps</w:t>
      </w:r>
    </w:p>
    <w:p>
      <w:pPr>
        <w:pStyle w:val="ListParagraph"/>
        <w:numPr>
          <w:ilvl w:val="0"/>
          <w:numId w:val="2"/>
        </w:numPr>
        <w:spacing w:after="80"/>
      </w:pPr>
      <w:r>
        <w:t xml:space="preserve">Item 3: PDF text extraction, so annual reports and investor presentations — currently silently dropped — become usable evidence sources.</w:t>
      </w:r>
    </w:p>
    <w:p>
      <w:pPr>
        <w:pStyle w:val="ListParagraph"/>
        <w:numPr>
          <w:ilvl w:val="0"/>
          <w:numId w:val="2"/>
        </w:numPr>
        <w:spacing w:after="80"/>
      </w:pPr>
      <w:r>
        <w:t xml:space="preserve">Item 4: a dedicated search template for executive-change announcements, plus a more targeted pass at investor-call transcripts and financial disclosures.</w:t>
      </w:r>
    </w:p>
    <w:p>
      <w:pPr>
        <w:spacing w:after="160"/>
      </w:pPr>
      <w:r>
        <w:rPr>
          <w:i/>
          <w:iCs/>
          <w:color w:val="666666"/>
          <w:sz w:val="20"/>
          <w:szCs w:val="20"/>
        </w:rPr>
        <w:t xml:space="preserve">Both are scoped as focused, single-session pieces of work, consistent with how the project has proceeded so far: one item at a time, re-benchmarked and documented after each change.</w:t>
      </w:r>
    </w:p>
    <w:p>
      <w:pPr>
        <w:pStyle w:val="Heading1"/>
        <w:spacing w:after="200" w:before="400"/>
      </w:pPr>
      <w:r>
        <w:t xml:space="preserve">Appendix: Key Metrics</w:t>
      </w:r>
    </w:p>
    <w:tbl>
      <w:tblPr>
        <w:tblW w:type="dxa" w:w="10000"/>
        <w:tblBorders>
          <w:top w:val="single" w:color="AAAAAA" w:sz="2"/>
          <w:left w:val="single" w:color="AAAAAA" w:sz="2"/>
          <w:bottom w:val="single" w:color="AAAAAA" w:sz="2"/>
          <w:right w:val="single" w:color="AAAAAA" w:sz="2"/>
          <w:insideH w:val="single" w:color="CCCCCC" w:sz="1"/>
          <w:insideV w:val="single" w:color="CCCCCC" w:sz="1"/>
        </w:tblBorders>
      </w:tblPr>
      <w:tblGrid>
        <w:gridCol w:w="4600"/>
        <w:gridCol w:w="5400"/>
      </w:tblGrid>
      <w:tr>
        <w:trPr>
          <w:tblHeader/>
        </w:trPr>
        <w:tc>
          <w:tcPr>
            <w:tcW w:type="dxa" w:w="4600"/>
            <w:shd w:fill="DDE6F5" w:val="clear"/>
            <w:tcMar>
              <w:top w:type="dxa" w:w="80"/>
              <w:left w:type="dxa" w:w="100"/>
              <w:bottom w:type="dxa" w:w="80"/>
              <w:right w:type="dxa" w:w="100"/>
            </w:tcMar>
          </w:tcPr>
          <w:p>
            <w:pPr>
              <w:jc w:val="left"/>
            </w:pPr>
            <w:r>
              <w:rPr>
                <w:b/>
                <w:bCs/>
                <w:sz w:val="20"/>
                <w:szCs w:val="20"/>
              </w:rPr>
              <w:t xml:space="preserve">Metric</w:t>
            </w:r>
          </w:p>
        </w:tc>
        <w:tc>
          <w:tcPr>
            <w:tcW w:type="dxa" w:w="5400"/>
            <w:shd w:fill="DDE6F5" w:val="clear"/>
            <w:tcMar>
              <w:top w:type="dxa" w:w="80"/>
              <w:left w:type="dxa" w:w="100"/>
              <w:bottom w:type="dxa" w:w="80"/>
              <w:right w:type="dxa" w:w="100"/>
            </w:tcMar>
          </w:tcPr>
          <w:p>
            <w:pPr>
              <w:jc w:val="left"/>
            </w:pPr>
            <w:r>
              <w:rPr>
                <w:b/>
                <w:bCs/>
                <w:sz w:val="20"/>
                <w:szCs w:val="20"/>
              </w:rPr>
              <w:t xml:space="preserve">Value</w:t>
            </w:r>
          </w:p>
        </w:tc>
      </w:tr>
      <w:tr>
        <w:tc>
          <w:tcPr>
            <w:tcW w:type="dxa" w:w="4600"/>
            <w:tcMar>
              <w:top w:type="dxa" w:w="80"/>
              <w:left w:type="dxa" w:w="100"/>
              <w:bottom w:type="dxa" w:w="80"/>
              <w:right w:type="dxa" w:w="100"/>
            </w:tcMar>
          </w:tcPr>
          <w:p>
            <w:pPr>
              <w:jc w:val="left"/>
            </w:pPr>
            <w:r>
              <w:rPr>
                <w:b w:val="false"/>
                <w:bCs w:val="false"/>
                <w:sz w:val="20"/>
                <w:szCs w:val="20"/>
              </w:rPr>
              <w:t xml:space="preserve">Total commits</w:t>
            </w:r>
          </w:p>
        </w:tc>
        <w:tc>
          <w:tcPr>
            <w:tcW w:type="dxa" w:w="5400"/>
            <w:tcMar>
              <w:top w:type="dxa" w:w="80"/>
              <w:left w:type="dxa" w:w="100"/>
              <w:bottom w:type="dxa" w:w="80"/>
              <w:right w:type="dxa" w:w="100"/>
            </w:tcMar>
          </w:tcPr>
          <w:p>
            <w:pPr>
              <w:jc w:val="left"/>
            </w:pPr>
            <w:r>
              <w:rPr>
                <w:b w:val="false"/>
                <w:bCs w:val="false"/>
                <w:sz w:val="20"/>
                <w:szCs w:val="20"/>
              </w:rPr>
              <w:t xml:space="preserve">20</w:t>
            </w:r>
          </w:p>
        </w:tc>
      </w:tr>
      <w:tr>
        <w:tc>
          <w:tcPr>
            <w:tcW w:type="dxa" w:w="4600"/>
            <w:tcMar>
              <w:top w:type="dxa" w:w="80"/>
              <w:left w:type="dxa" w:w="100"/>
              <w:bottom w:type="dxa" w:w="80"/>
              <w:right w:type="dxa" w:w="100"/>
            </w:tcMar>
          </w:tcPr>
          <w:p>
            <w:pPr>
              <w:jc w:val="left"/>
            </w:pPr>
            <w:r>
              <w:rPr>
                <w:b w:val="false"/>
                <w:bCs w:val="false"/>
                <w:sz w:val="20"/>
                <w:szCs w:val="20"/>
              </w:rPr>
              <w:t xml:space="preserve">Approx. lines of code (lib/ + app/)</w:t>
            </w:r>
          </w:p>
        </w:tc>
        <w:tc>
          <w:tcPr>
            <w:tcW w:type="dxa" w:w="5400"/>
            <w:tcMar>
              <w:top w:type="dxa" w:w="80"/>
              <w:left w:type="dxa" w:w="100"/>
              <w:bottom w:type="dxa" w:w="80"/>
              <w:right w:type="dxa" w:w="100"/>
            </w:tcMar>
          </w:tcPr>
          <w:p>
            <w:pPr>
              <w:jc w:val="left"/>
            </w:pPr>
            <w:r>
              <w:rPr>
                <w:b w:val="false"/>
                <w:bCs w:val="false"/>
                <w:sz w:val="20"/>
                <w:szCs w:val="20"/>
              </w:rPr>
              <w:t xml:space="preserve">~13,700</w:t>
            </w:r>
          </w:p>
        </w:tc>
      </w:tr>
      <w:tr>
        <w:tc>
          <w:tcPr>
            <w:tcW w:type="dxa" w:w="4600"/>
            <w:tcMar>
              <w:top w:type="dxa" w:w="80"/>
              <w:left w:type="dxa" w:w="100"/>
              <w:bottom w:type="dxa" w:w="80"/>
              <w:right w:type="dxa" w:w="100"/>
            </w:tcMar>
          </w:tcPr>
          <w:p>
            <w:pPr>
              <w:jc w:val="left"/>
            </w:pPr>
            <w:r>
              <w:rPr>
                <w:b w:val="false"/>
                <w:bCs w:val="false"/>
                <w:sz w:val="20"/>
                <w:szCs w:val="20"/>
              </w:rPr>
              <w:t xml:space="preserve">Benchmark companies</w:t>
            </w:r>
          </w:p>
        </w:tc>
        <w:tc>
          <w:tcPr>
            <w:tcW w:type="dxa" w:w="5400"/>
            <w:tcMar>
              <w:top w:type="dxa" w:w="80"/>
              <w:left w:type="dxa" w:w="100"/>
              <w:bottom w:type="dxa" w:w="80"/>
              <w:right w:type="dxa" w:w="100"/>
            </w:tcMar>
          </w:tcPr>
          <w:p>
            <w:pPr>
              <w:jc w:val="left"/>
            </w:pPr>
            <w:r>
              <w:rPr>
                <w:b w:val="false"/>
                <w:bCs w:val="false"/>
                <w:sz w:val="20"/>
                <w:szCs w:val="20"/>
              </w:rPr>
              <w:t xml:space="preserve">6 (Ace Pipeline, Ador Welding, AS Agri &amp; Aqua, AITG, A-1 Fence Products, ATE Group)</w:t>
            </w:r>
          </w:p>
        </w:tc>
      </w:tr>
      <w:tr>
        <w:tc>
          <w:tcPr>
            <w:tcW w:type="dxa" w:w="4600"/>
            <w:tcMar>
              <w:top w:type="dxa" w:w="80"/>
              <w:left w:type="dxa" w:w="100"/>
              <w:bottom w:type="dxa" w:w="80"/>
              <w:right w:type="dxa" w:w="100"/>
            </w:tcMar>
          </w:tcPr>
          <w:p>
            <w:pPr>
              <w:jc w:val="left"/>
            </w:pPr>
            <w:r>
              <w:rPr>
                <w:b w:val="false"/>
                <w:bCs w:val="false"/>
                <w:sz w:val="20"/>
                <w:szCs w:val="20"/>
              </w:rPr>
              <w:t xml:space="preserve">Automated unit tests</w:t>
            </w:r>
          </w:p>
        </w:tc>
        <w:tc>
          <w:tcPr>
            <w:tcW w:type="dxa" w:w="5400"/>
            <w:tcMar>
              <w:top w:type="dxa" w:w="80"/>
              <w:left w:type="dxa" w:w="100"/>
              <w:bottom w:type="dxa" w:w="80"/>
              <w:right w:type="dxa" w:w="100"/>
            </w:tcMar>
          </w:tcPr>
          <w:p>
            <w:pPr>
              <w:jc w:val="left"/>
            </w:pPr>
            <w:r>
              <w:rPr>
                <w:b w:val="false"/>
                <w:bCs w:val="false"/>
                <w:sz w:val="20"/>
                <w:szCs w:val="20"/>
              </w:rPr>
              <w:t xml:space="preserve">17 (all passing)</w:t>
            </w:r>
          </w:p>
        </w:tc>
      </w:tr>
      <w:tr>
        <w:tc>
          <w:tcPr>
            <w:tcW w:type="dxa" w:w="4600"/>
            <w:tcMar>
              <w:top w:type="dxa" w:w="80"/>
              <w:left w:type="dxa" w:w="100"/>
              <w:bottom w:type="dxa" w:w="80"/>
              <w:right w:type="dxa" w:w="100"/>
            </w:tcMar>
          </w:tcPr>
          <w:p>
            <w:pPr>
              <w:jc w:val="left"/>
            </w:pPr>
            <w:r>
              <w:rPr>
                <w:b w:val="false"/>
                <w:bCs w:val="false"/>
                <w:sz w:val="20"/>
                <w:szCs w:val="20"/>
              </w:rPr>
              <w:t xml:space="preserve">Confirmed Demaze service lines</w:t>
            </w:r>
          </w:p>
        </w:tc>
        <w:tc>
          <w:tcPr>
            <w:tcW w:type="dxa" w:w="5400"/>
            <w:tcMar>
              <w:top w:type="dxa" w:w="80"/>
              <w:left w:type="dxa" w:w="100"/>
              <w:bottom w:type="dxa" w:w="80"/>
              <w:right w:type="dxa" w:w="100"/>
            </w:tcMar>
          </w:tcPr>
          <w:p>
            <w:pPr>
              <w:jc w:val="left"/>
            </w:pPr>
            <w:r>
              <w:rPr>
                <w:b w:val="false"/>
                <w:bCs w:val="false"/>
                <w:sz w:val="20"/>
                <w:szCs w:val="20"/>
              </w:rPr>
              <w:t xml:space="preserve">8</w:t>
            </w:r>
          </w:p>
        </w:tc>
      </w:tr>
      <w:tr>
        <w:tc>
          <w:tcPr>
            <w:tcW w:type="dxa" w:w="4600"/>
            <w:tcMar>
              <w:top w:type="dxa" w:w="80"/>
              <w:left w:type="dxa" w:w="100"/>
              <w:bottom w:type="dxa" w:w="80"/>
              <w:right w:type="dxa" w:w="100"/>
            </w:tcMar>
          </w:tcPr>
          <w:p>
            <w:pPr>
              <w:jc w:val="left"/>
            </w:pPr>
            <w:r>
              <w:rPr>
                <w:b w:val="false"/>
                <w:bCs w:val="false"/>
                <w:sz w:val="20"/>
                <w:szCs w:val="20"/>
              </w:rPr>
              <w:t xml:space="preserve">Output report fields</w:t>
            </w:r>
          </w:p>
        </w:tc>
        <w:tc>
          <w:tcPr>
            <w:tcW w:type="dxa" w:w="5400"/>
            <w:tcMar>
              <w:top w:type="dxa" w:w="80"/>
              <w:left w:type="dxa" w:w="100"/>
              <w:bottom w:type="dxa" w:w="80"/>
              <w:right w:type="dxa" w:w="100"/>
            </w:tcMar>
          </w:tcPr>
          <w:p>
            <w:pPr>
              <w:jc w:val="left"/>
            </w:pPr>
            <w:r>
              <w:rPr>
                <w:b w:val="false"/>
                <w:bCs w:val="false"/>
                <w:sz w:val="20"/>
                <w:szCs w:val="20"/>
              </w:rPr>
              <w:t xml:space="preserve">5 (locked)</w:t>
            </w:r>
          </w:p>
        </w:tc>
      </w:tr>
      <w:tr>
        <w:tc>
          <w:tcPr>
            <w:tcW w:type="dxa" w:w="4600"/>
            <w:tcMar>
              <w:top w:type="dxa" w:w="80"/>
              <w:left w:type="dxa" w:w="100"/>
              <w:bottom w:type="dxa" w:w="80"/>
              <w:right w:type="dxa" w:w="100"/>
            </w:tcMar>
          </w:tcPr>
          <w:p>
            <w:pPr>
              <w:jc w:val="left"/>
            </w:pPr>
            <w:r>
              <w:rPr>
                <w:b w:val="false"/>
                <w:bCs w:val="false"/>
                <w:sz w:val="20"/>
                <w:szCs w:val="20"/>
              </w:rPr>
              <w:t xml:space="preserve">Latest measured latency win (Item 2)</w:t>
            </w:r>
          </w:p>
        </w:tc>
        <w:tc>
          <w:tcPr>
            <w:tcW w:type="dxa" w:w="5400"/>
            <w:tcMar>
              <w:top w:type="dxa" w:w="80"/>
              <w:left w:type="dxa" w:w="100"/>
              <w:bottom w:type="dxa" w:w="80"/>
              <w:right w:type="dxa" w:w="100"/>
            </w:tcMar>
          </w:tcPr>
          <w:p>
            <w:pPr>
              <w:jc w:val="left"/>
            </w:pPr>
            <w:r>
              <w:rPr>
                <w:b w:val="false"/>
                <w:bCs w:val="false"/>
                <w:sz w:val="20"/>
                <w:szCs w:val="20"/>
              </w:rPr>
              <w:t xml:space="preserve">~20s / ~22% reduction on a real non-cached run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2026-07-12T03:56:23.521Z</dcterms:created>
  <dcterms:modified xsi:type="dcterms:W3CDTF">2026-07-12T03:56:23.544Z</dcterms:modified>
</cp:coreProperties>
</file>

<file path=docProps/custom.xml><?xml version="1.0" encoding="utf-8"?>
<Properties xmlns="http://schemas.openxmlformats.org/officeDocument/2006/custom-properties" xmlns:vt="http://schemas.openxmlformats.org/officeDocument/2006/docPropsVTypes"/>
</file>