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Quarterly Review</w:t>
      </w:r>
    </w:p>
    <w:p>
      <w:r>
        <w:rPr>
          <w:rFonts w:ascii="Georgia" w:cs="Georgia" w:eastAsia="Georgia" w:hAnsi="Georgia"/>
          <w:b/>
          <w:bCs/>
          <w:color w:val="C00000"/>
        </w:rPr>
        <w:t xml:space="preserve">Prepared in Georgia, in red: </w:t>
      </w:r>
      <w:r>
        <w:rPr>
          <w:i/>
          <w:iCs/>
        </w:rPr>
        <w:t xml:space="preserve">confidential draft.</w:t>
      </w:r>
    </w:p>
    <w:p>
      <w:r>
        <w:drawing>
          <wp:inline distT="0" distB="0" distL="0" distR="0">
            <wp:extent cx="152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7620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rPr>
                <w:b/>
                <w:bCs/>
              </w:rPr>
              <w:t xml:space="preserve">Region</w:t>
            </w:r>
          </w:p>
        </w:tc>
        <w:tc>
          <w:tcPr>
            <w:tcW w:type="dxa" w:w="3000"/>
          </w:tcPr>
          <w:p>
            <w:r>
              <w:rPr>
                <w:b/>
                <w:bCs/>
              </w:rPr>
              <w:t xml:space="preserve">Q1</w:t>
            </w:r>
          </w:p>
        </w:tc>
        <w:tc>
          <w:tcPr>
            <w:tcW w:type="dxa" w:w="3000"/>
          </w:tcPr>
          <w:p>
            <w:r>
              <w:rPr>
                <w:b/>
                <w:bCs/>
              </w:rPr>
              <w:t xml:space="preserve">Q2</w:t>
            </w:r>
          </w:p>
        </w:tc>
      </w:tr>
      <w:tr>
        <w:tc>
          <w:tcPr>
            <w:tcW w:type="dxa" w:w="3000"/>
          </w:tcPr>
          <w:p>
            <w:r>
              <w:rPr>
                <w:b w:val="false"/>
                <w:bCs w:val="false"/>
              </w:rPr>
              <w:t xml:space="preserve">North</w:t>
            </w:r>
          </w:p>
        </w:tc>
        <w:tc>
          <w:tcPr>
            <w:tcW w:type="dxa" w:w="3000"/>
          </w:tcPr>
          <w:p>
            <w:r>
              <w:rPr>
                <w:b w:val="false"/>
                <w:bCs w:val="false"/>
              </w:rPr>
              <w:t xml:space="preserve">1,200</w:t>
            </w:r>
          </w:p>
        </w:tc>
        <w:tc>
          <w:tcPr>
            <w:tcW w:type="dxa" w:w="3000"/>
          </w:tcPr>
          <w:p>
            <w:r>
              <w:rPr>
                <w:b w:val="false"/>
                <w:bCs w:val="false"/>
              </w:rPr>
              <w:t xml:space="preserve">1,350</w:t>
            </w:r>
          </w:p>
        </w:tc>
      </w:tr>
      <w:tr>
        <w:tc>
          <w:tcPr>
            <w:tcW w:type="dxa" w:w="3000"/>
          </w:tcPr>
          <w:p>
            <w:r>
              <w:rPr>
                <w:b w:val="false"/>
                <w:bCs w:val="false"/>
              </w:rPr>
              <w:t xml:space="preserve">West</w:t>
            </w:r>
          </w:p>
        </w:tc>
        <w:tc>
          <w:tcPr>
            <w:tcW w:type="dxa" w:w="3000"/>
          </w:tcPr>
          <w:p>
            <w:r>
              <w:rPr>
                <w:b w:val="false"/>
                <w:bCs w:val="false"/>
              </w:rPr>
              <w:t xml:space="preserve">2,040</w:t>
            </w:r>
          </w:p>
        </w:tc>
        <w:tc>
          <w:tcPr>
            <w:tcW w:type="dxa" w:w="3000"/>
          </w:tcPr>
          <w:p>
            <w:r>
              <w:rPr>
                <w:b w:val="false"/>
                <w:bCs w:val="false"/>
              </w:rPr>
              <w:t xml:space="preserve">2,210</w:t>
            </w:r>
          </w:p>
        </w:tc>
      </w:tr>
    </w:tbl>
    <w:p>
      <w:pPr>
        <w:pStyle w:val="ListParagraph"/>
        <w:numPr>
          <w:ilvl w:val="0"/>
          <w:numId w:val="2"/>
        </w:numPr>
      </w:pPr>
      <w:r>
        <w:t xml:space="preserve">Collect the figures</w:t>
      </w:r>
    </w:p>
    <w:p>
      <w:pPr>
        <w:pStyle w:val="ListParagraph"/>
        <w:numPr>
          <w:ilvl w:val="0"/>
          <w:numId w:val="2"/>
        </w:numPr>
      </w:pPr>
      <w:r>
        <w:t xml:space="preserve">Check them twice</w:t>
      </w:r>
    </w:p>
    <w:p>
      <w:pPr>
        <w:pStyle w:val="ListParagraph"/>
        <w:numPr>
          <w:ilvl w:val="0"/>
          <w:numId w:val="2"/>
        </w:numPr>
      </w:pPr>
      <w:r>
        <w:t xml:space="preserve">Send the report</w:t>
      </w:r>
    </w:p>
    <w:p>
      <w:r>
        <w:br w:type="page"/>
      </w:r>
    </w:p>
    <w:p>
      <w:pPr>
        <w:pStyle w:val="Heading1"/>
        <w:sectPr>
          <w:headerReference w:type="default" r:id="rId6"/>
          <w:footerReference w:type="default" r:id="rId7"/>
          <w:pgSz w:w="11906" w:h="16838" w:orient="portrait"/>
          <w:pgMar w:top="1440" w:right="1440" w:bottom="1440" w:left="1440" w:header="708" w:footer="708" w:gutter="0"/>
          <w:pgNumType/>
          <w:docGrid w:linePitch="360"/>
        </w:sectPr>
      </w:pPr>
      <w:r>
        <w:t xml:space="preserve">After the page break</w:t>
      </w:r>
    </w:p>
    <w:p>
      <w:pPr>
        <w:pStyle w:val="Heading1"/>
      </w:pPr>
      <w:r>
        <w:t xml:space="preserve">Two columns</w:t>
      </w:r>
    </w:p>
    <w:p>
      <w:r>
        <w:t xml:space="preserve">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w:t>
      </w:r>
    </w:p>
    <w:p>
      <w:r>
        <w:t xml:space="preserve">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w:t>
      </w:r>
    </w:p>
    <w:p>
      <w:r>
        <w:t xml:space="preserve">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w:t>
      </w:r>
    </w:p>
    <w:p>
      <w:r>
        <w:t xml:space="preserve">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w:t>
      </w:r>
    </w:p>
    <w:p>
      <w:r>
        <w:t xml:space="preserve">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w:t>
      </w:r>
    </w:p>
    <w:p>
      <w:r>
        <w:t xml:space="preserve">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w:t>
      </w:r>
    </w:p>
    <w:p>
      <w:r>
        <w:t xml:space="preserve">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w:t>
      </w:r>
    </w:p>
    <w:p>
      <w:pPr>
        <w:sectPr>
          <w:type w:val="nextPage"/>
          <w:pgSz w:w="11906" w:h="16838" w:orient="portrait"/>
          <w:pgMar w:top="1440" w:right="1440" w:bottom="1440" w:left="1440" w:header="708" w:footer="708" w:gutter="0"/>
          <w:pgNumType/>
          <w:cols w:space="708" w:num="2"/>
          <w:docGrid w:linePitch="360"/>
        </w:sectPr>
      </w:pPr>
      <w:r>
        <w:t xml:space="preserve">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Revenue grew in every region this quarter, led by renewals in the north and new accounts in the west. </w:t>
      </w:r>
    </w:p>
    <w:p>
      <w:pPr>
        <w:pStyle w:val="Heading1"/>
      </w:pPr>
      <w:r>
        <w:t xml:space="preserve">Landscape appendix</w:t>
      </w:r>
    </w:p>
    <w:sectPr>
      <w:type w:val="nextPage"/>
      <w:pgSz w:w="16838" w:h="11906" w:orient="landscape"/>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1F4E79"/>
      </w:rPr>
      <w:t xml:space="preserve">Northwind Quarterly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7ad029d1e51f8fd494a3c70342aaac747a18bd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Foliant tests</dc:creator>
  <cp:lastModifiedBy>Un-named</cp:lastModifiedBy>
  <cp:revision>1</cp:revision>
  <dcterms:created xsi:type="dcterms:W3CDTF">2026-10-17T05:44:24.504Z</dcterms:created>
  <dcterms:modified xsi:type="dcterms:W3CDTF">2026-10-17T05:44:24.505Z</dcterms:modified>
</cp:coreProperties>
</file>

<file path=docProps/custom.xml><?xml version="1.0" encoding="utf-8"?>
<Properties xmlns="http://schemas.openxmlformats.org/officeDocument/2006/custom-properties" xmlns:vt="http://schemas.openxmlformats.org/officeDocument/2006/docPropsVTypes"/>
</file>