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3BF" w:rsidRPr="005F5AE4" w:rsidRDefault="00A87BD2" w:rsidP="00B70876">
      <w:pPr>
        <w:tabs>
          <w:tab w:val="left" w:pos="10260"/>
        </w:tabs>
      </w:pPr>
      <w:r w:rsidRPr="005F5AE4">
        <w:rPr>
          <w:noProof/>
          <w:lang w:val="en-IN" w:eastAsia="en-IN"/>
        </w:rPr>
        <mc:AlternateContent>
          <mc:Choice Requires="wps">
            <w:drawing>
              <wp:anchor distT="0" distB="0" distL="114300" distR="114300" simplePos="0" relativeHeight="251675136" behindDoc="1" locked="0" layoutInCell="1" allowOverlap="1" wp14:anchorId="0591E26D" wp14:editId="48A81044">
                <wp:simplePos x="0" y="0"/>
                <wp:positionH relativeFrom="column">
                  <wp:posOffset>-758825</wp:posOffset>
                </wp:positionH>
                <wp:positionV relativeFrom="paragraph">
                  <wp:posOffset>6738620</wp:posOffset>
                </wp:positionV>
                <wp:extent cx="7991475" cy="2849245"/>
                <wp:effectExtent l="0" t="0" r="9525" b="8255"/>
                <wp:wrapNone/>
                <wp:docPr id="24"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1475" cy="2849245"/>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6" o:spid="_x0000_s1026" style="position:absolute;margin-left:-59.75pt;margin-top:530.6pt;width:629.25pt;height:224.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" fillcolor="#7d0615 [3204]" stroked="f"/>
            </w:pict>
          </mc:Fallback>
        </mc:AlternateContent>
      </w:r>
      <w:r w:rsidRPr="005F5AE4">
        <w:rPr>
          <w:noProof/>
          <w:lang w:val="en-IN" w:eastAsia="en-IN"/>
        </w:rPr>
        <mc:AlternateContent>
          <mc:Choice Requires="wps">
            <w:drawing>
              <wp:anchor distT="0" distB="0" distL="114300" distR="114300" simplePos="0" relativeHeight="251677184" behindDoc="1" locked="0" layoutInCell="1" allowOverlap="1" wp14:anchorId="7284E208" wp14:editId="6EE04B3C">
                <wp:simplePos x="0" y="0"/>
                <wp:positionH relativeFrom="column">
                  <wp:posOffset>4636770</wp:posOffset>
                </wp:positionH>
                <wp:positionV relativeFrom="paragraph">
                  <wp:posOffset>6738620</wp:posOffset>
                </wp:positionV>
                <wp:extent cx="2529205" cy="2987040"/>
                <wp:effectExtent l="0" t="0" r="4445" b="3810"/>
                <wp:wrapNone/>
                <wp:docPr id="26"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2987040"/>
                        </a:xfrm>
                        <a:prstGeom prst="rect">
                          <a:avLst/>
                        </a:prstGeom>
                        <a:solidFill>
                          <a:schemeClr val="accent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7" o:spid="_x0000_s1026" style="position:absolute;margin-left:365.1pt;margin-top:530.6pt;width:199.15pt;height:235.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" fillcolor="#c0504d [3205]" stroked="f"/>
            </w:pict>
          </mc:Fallback>
        </mc:AlternateContent>
      </w:r>
      <w:r w:rsidRPr="005F5AE4">
        <w:rPr>
          <w:noProof/>
          <w:lang w:val="en-IN" w:eastAsia="en-IN"/>
        </w:rPr>
        <mc:AlternateContent>
          <mc:Choice Requires="wps">
            <w:drawing>
              <wp:anchor distT="0" distB="0" distL="114300" distR="114300" simplePos="0" relativeHeight="251672064" behindDoc="0" locked="0" layoutInCell="1" allowOverlap="1" wp14:anchorId="2DB32014" wp14:editId="4BE26CA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876" w:rsidRDefault="005D31AA" w:rsidP="005D31AA">
                            <w:pPr>
                              <w:rPr>
                                <w:rFonts w:ascii="Arial" w:hAnsi="Arial" w:cs="Arial"/>
                                <w:color w:val="FFFFFF" w:themeColor="background1"/>
                                <w:sz w:val="28"/>
                                <w:szCs w:val="38"/>
                                <w:lang w:val="en-IN"/>
                              </w:rPr>
                            </w:pPr>
                            <w:r>
                              <w:rPr>
                                <w:rFonts w:ascii="Arial" w:hAnsi="Arial" w:cs="Arial"/>
                                <w:color w:val="FFFFFF" w:themeColor="background1"/>
                                <w:sz w:val="28"/>
                                <w:szCs w:val="38"/>
                                <w:lang w:val="en-IN"/>
                              </w:rPr>
                              <w:t xml:space="preserve">          AUTHOR </w:t>
                            </w:r>
                          </w:p>
                          <w:p w:rsidR="005D31AA" w:rsidRDefault="005D31AA" w:rsidP="005D31AA">
                            <w:pPr>
                              <w:rPr>
                                <w:rFonts w:ascii="Arial" w:hAnsi="Arial" w:cs="Arial"/>
                                <w:color w:val="FFFFFF" w:themeColor="background1"/>
                                <w:sz w:val="28"/>
                                <w:szCs w:val="38"/>
                                <w:lang w:val="en-IN"/>
                              </w:rPr>
                            </w:pPr>
                          </w:p>
                          <w:p w:rsidR="005D31AA" w:rsidRDefault="005D31AA" w:rsidP="005D31AA">
                            <w:pPr>
                              <w:rPr>
                                <w:rFonts w:ascii="Arial" w:hAnsi="Arial" w:cs="Arial"/>
                                <w:color w:val="FFFFFF" w:themeColor="background1"/>
                                <w:sz w:val="28"/>
                                <w:szCs w:val="38"/>
                                <w:lang w:val="en-IN"/>
                              </w:rPr>
                            </w:pPr>
                            <w:r>
                              <w:rPr>
                                <w:rFonts w:ascii="Arial" w:hAnsi="Arial" w:cs="Arial"/>
                                <w:color w:val="FFFFFF" w:themeColor="background1"/>
                                <w:sz w:val="28"/>
                                <w:szCs w:val="38"/>
                                <w:lang w:val="en-IN"/>
                              </w:rPr>
                              <w:t xml:space="preserve">   SHUBHAM SINGH</w:t>
                            </w:r>
                          </w:p>
                          <w:p w:rsidR="005D31AA" w:rsidRDefault="005D31AA" w:rsidP="005D31AA">
                            <w:pPr>
                              <w:rPr>
                                <w:rFonts w:ascii="Arial" w:hAnsi="Arial" w:cs="Arial"/>
                                <w:color w:val="FFFFFF" w:themeColor="background1"/>
                                <w:sz w:val="28"/>
                                <w:szCs w:val="38"/>
                                <w:lang w:val="en-IN"/>
                              </w:rPr>
                            </w:pPr>
                          </w:p>
                          <w:p w:rsidR="005D31AA" w:rsidRPr="005D31AA" w:rsidRDefault="005D31AA" w:rsidP="005D31AA">
                            <w:pPr>
                              <w:rPr>
                                <w:rFonts w:ascii="Arial" w:hAnsi="Arial" w:cs="Arial"/>
                                <w:color w:val="FFFFFF" w:themeColor="background1"/>
                                <w:sz w:val="28"/>
                                <w:szCs w:val="38"/>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6" o:spid="_x0000_s1026" type="#_x0000_t202" style="position:absolute;margin-left:380.05pt;margin-top:611.7pt;width:168.1pt;height:7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1xmuAIAALw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" filled="f" stroked="f">
                <v:textbox>
                  <w:txbxContent>
                    <w:p w:rsidR="00B70876" w:rsidRDefault="005D31AA" w:rsidP="005D31AA">
                      <w:pPr>
                        <w:rPr>
                          <w:rFonts w:ascii="Arial" w:hAnsi="Arial" w:cs="Arial"/>
                          <w:color w:val="FFFFFF" w:themeColor="background1"/>
                          <w:sz w:val="28"/>
                          <w:szCs w:val="38"/>
                          <w:lang w:val="en-IN"/>
                        </w:rPr>
                      </w:pPr>
                      <w:r>
                        <w:rPr>
                          <w:rFonts w:ascii="Arial" w:hAnsi="Arial" w:cs="Arial"/>
                          <w:color w:val="FFFFFF" w:themeColor="background1"/>
                          <w:sz w:val="28"/>
                          <w:szCs w:val="38"/>
                          <w:lang w:val="en-IN"/>
                        </w:rPr>
                        <w:t xml:space="preserve">          AUTHOR </w:t>
                      </w:r>
                    </w:p>
                    <w:p w:rsidR="005D31AA" w:rsidRDefault="005D31AA" w:rsidP="005D31AA">
                      <w:pPr>
                        <w:rPr>
                          <w:rFonts w:ascii="Arial" w:hAnsi="Arial" w:cs="Arial"/>
                          <w:color w:val="FFFFFF" w:themeColor="background1"/>
                          <w:sz w:val="28"/>
                          <w:szCs w:val="38"/>
                          <w:lang w:val="en-IN"/>
                        </w:rPr>
                      </w:pPr>
                    </w:p>
                    <w:p w:rsidR="005D31AA" w:rsidRDefault="005D31AA" w:rsidP="005D31AA">
                      <w:pPr>
                        <w:rPr>
                          <w:rFonts w:ascii="Arial" w:hAnsi="Arial" w:cs="Arial"/>
                          <w:color w:val="FFFFFF" w:themeColor="background1"/>
                          <w:sz w:val="28"/>
                          <w:szCs w:val="38"/>
                          <w:lang w:val="en-IN"/>
                        </w:rPr>
                      </w:pPr>
                      <w:r>
                        <w:rPr>
                          <w:rFonts w:ascii="Arial" w:hAnsi="Arial" w:cs="Arial"/>
                          <w:color w:val="FFFFFF" w:themeColor="background1"/>
                          <w:sz w:val="28"/>
                          <w:szCs w:val="38"/>
                          <w:lang w:val="en-IN"/>
                        </w:rPr>
                        <w:t xml:space="preserve">   SHUBHAM SINGH</w:t>
                      </w:r>
                    </w:p>
                    <w:p w:rsidR="005D31AA" w:rsidRDefault="005D31AA" w:rsidP="005D31AA">
                      <w:pPr>
                        <w:rPr>
                          <w:rFonts w:ascii="Arial" w:hAnsi="Arial" w:cs="Arial"/>
                          <w:color w:val="FFFFFF" w:themeColor="background1"/>
                          <w:sz w:val="28"/>
                          <w:szCs w:val="38"/>
                          <w:lang w:val="en-IN"/>
                        </w:rPr>
                      </w:pPr>
                    </w:p>
                    <w:p w:rsidR="005D31AA" w:rsidRPr="005D31AA" w:rsidRDefault="005D31AA" w:rsidP="005D31AA">
                      <w:pPr>
                        <w:rPr>
                          <w:rFonts w:ascii="Arial" w:hAnsi="Arial" w:cs="Arial"/>
                          <w:color w:val="FFFFFF" w:themeColor="background1"/>
                          <w:sz w:val="28"/>
                          <w:szCs w:val="38"/>
                          <w:lang w:val="en-IN"/>
                        </w:rPr>
                      </w:pPr>
                    </w:p>
                  </w:txbxContent>
                </v:textbox>
              </v:shape>
            </w:pict>
          </mc:Fallback>
        </mc:AlternateContent>
      </w:r>
      <w:r w:rsidRPr="005F5AE4">
        <w:rPr>
          <w:noProof/>
          <w:lang w:val="en-IN" w:eastAsia="en-IN"/>
        </w:rPr>
        <mc:AlternateContent>
          <mc:Choice Requires="wps">
            <w:drawing>
              <wp:anchor distT="0" distB="0" distL="114300" distR="114300" simplePos="0" relativeHeight="251678208" behindDoc="1" locked="0" layoutInCell="1" allowOverlap="1" wp14:anchorId="486FA7F3" wp14:editId="7E8AE838">
                <wp:simplePos x="0" y="0"/>
                <wp:positionH relativeFrom="column">
                  <wp:posOffset>-735330</wp:posOffset>
                </wp:positionH>
                <wp:positionV relativeFrom="paragraph">
                  <wp:posOffset>-591185</wp:posOffset>
                </wp:positionV>
                <wp:extent cx="7918450" cy="803910"/>
                <wp:effectExtent l="0" t="0" r="6350" b="0"/>
                <wp:wrapNone/>
                <wp:docPr id="10"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803910"/>
                        </a:xfrm>
                        <a:prstGeom prst="rect">
                          <a:avLst/>
                        </a:prstGeom>
                        <a:solidFill>
                          <a:schemeClr val="accent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8" o:spid="_x0000_s1026" style="position:absolute;margin-left:-57.9pt;margin-top:-46.55pt;width:623.5pt;height:63.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" fillcolor="#9bbb59 [3206]" stroked="f"/>
            </w:pict>
          </mc:Fallback>
        </mc:AlternateContent>
      </w:r>
      <w:r w:rsidRPr="005F5AE4">
        <w:rPr>
          <w:noProof/>
          <w:lang w:val="en-IN" w:eastAsia="en-IN"/>
        </w:rPr>
        <mc:AlternateContent>
          <mc:Choice Requires="wps">
            <w:drawing>
              <wp:anchor distT="0" distB="0" distL="114300" distR="114300" simplePos="0" relativeHeight="251680256" behindDoc="0" locked="0" layoutInCell="1" allowOverlap="1" wp14:anchorId="31FBAF78" wp14:editId="1F87637D">
                <wp:simplePos x="0" y="0"/>
                <wp:positionH relativeFrom="column">
                  <wp:posOffset>-454660</wp:posOffset>
                </wp:positionH>
                <wp:positionV relativeFrom="paragraph">
                  <wp:posOffset>-436136</wp:posOffset>
                </wp:positionV>
                <wp:extent cx="7463155"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51ED" w:rsidRDefault="005D31AA" w:rsidP="000C6CA1">
                            <w:pPr>
                              <w:jc w:val="center"/>
                              <w:rPr>
                                <w:rFonts w:ascii="Arial" w:hAnsi="Arial" w:cs="Arial"/>
                                <w:color w:val="FFFFFF"/>
                                <w:sz w:val="60"/>
                                <w:lang w:val="en-IN"/>
                              </w:rPr>
                            </w:pPr>
                            <w:r>
                              <w:rPr>
                                <w:rFonts w:ascii="Arial" w:hAnsi="Arial" w:cs="Arial"/>
                                <w:color w:val="FFFFFF"/>
                                <w:sz w:val="60"/>
                                <w:lang w:val="en-IN"/>
                              </w:rPr>
                              <w:t>HOME-LLC-ASSESSMENT</w:t>
                            </w:r>
                          </w:p>
                          <w:p w:rsidR="005D31AA" w:rsidRPr="005D31AA" w:rsidRDefault="005D31AA" w:rsidP="000C6CA1">
                            <w:pPr>
                              <w:jc w:val="center"/>
                              <w:rPr>
                                <w:rFonts w:ascii="Arial" w:hAnsi="Arial" w:cs="Arial"/>
                                <w:color w:val="FFFFFF"/>
                                <w:sz w:val="60"/>
                                <w:lang w:val="en-I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27" type="#_x0000_t202" style="position:absolute;margin-left:-35.8pt;margin-top:-34.35pt;width:587.65pt;height:45.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" filled="f" stroked="f">
                <v:textbox>
                  <w:txbxContent>
                    <w:p w:rsidR="001351ED" w:rsidRDefault="005D31AA" w:rsidP="000C6CA1">
                      <w:pPr>
                        <w:jc w:val="center"/>
                        <w:rPr>
                          <w:rFonts w:ascii="Arial" w:hAnsi="Arial" w:cs="Arial"/>
                          <w:color w:val="FFFFFF"/>
                          <w:sz w:val="60"/>
                          <w:lang w:val="en-IN"/>
                        </w:rPr>
                      </w:pPr>
                      <w:r>
                        <w:rPr>
                          <w:rFonts w:ascii="Arial" w:hAnsi="Arial" w:cs="Arial"/>
                          <w:color w:val="FFFFFF"/>
                          <w:sz w:val="60"/>
                          <w:lang w:val="en-IN"/>
                        </w:rPr>
                        <w:t>HOME-LLC-ASSESSMENT</w:t>
                      </w:r>
                    </w:p>
                    <w:p w:rsidR="005D31AA" w:rsidRPr="005D31AA" w:rsidRDefault="005D31AA" w:rsidP="000C6CA1">
                      <w:pPr>
                        <w:jc w:val="center"/>
                        <w:rPr>
                          <w:rFonts w:ascii="Arial" w:hAnsi="Arial" w:cs="Arial"/>
                          <w:color w:val="FFFFFF"/>
                          <w:sz w:val="60"/>
                          <w:lang w:val="en-IN"/>
                        </w:rPr>
                      </w:pPr>
                    </w:p>
                  </w:txbxContent>
                </v:textbox>
              </v:shape>
            </w:pict>
          </mc:Fallback>
        </mc:AlternateContent>
      </w:r>
    </w:p>
    <w:p w:rsidR="004A73BF" w:rsidRPr="005F5AE4" w:rsidRDefault="004A73BF" w:rsidP="00B70876">
      <w:pPr>
        <w:tabs>
          <w:tab w:val="left" w:pos="10260"/>
        </w:tabs>
      </w:pPr>
    </w:p>
    <w:p w:rsidR="004A73BF" w:rsidRPr="005F5AE4" w:rsidRDefault="004A73BF" w:rsidP="00B70876">
      <w:pPr>
        <w:tabs>
          <w:tab w:val="left" w:pos="10260"/>
        </w:tabs>
      </w:pPr>
    </w:p>
    <w:p w:rsidR="004A73BF" w:rsidRDefault="004A73BF" w:rsidP="00B70876">
      <w:pPr>
        <w:tabs>
          <w:tab w:val="left" w:pos="10260"/>
        </w:tabs>
      </w:pPr>
    </w:p>
    <w:p w:rsidR="005D31AA" w:rsidRDefault="005D31AA" w:rsidP="00B70876">
      <w:pPr>
        <w:tabs>
          <w:tab w:val="left" w:pos="10260"/>
        </w:tabs>
      </w:pPr>
    </w:p>
    <w:p w:rsidR="005D31AA" w:rsidRPr="005F5AE4" w:rsidRDefault="005D31AA" w:rsidP="00B70876">
      <w:pPr>
        <w:tabs>
          <w:tab w:val="left" w:pos="10260"/>
        </w:tabs>
      </w:pPr>
      <w:r>
        <w:rPr>
          <w:noProof/>
          <w:lang w:val="en-IN" w:eastAsia="en-IN"/>
        </w:rPr>
        <w:drawing>
          <wp:inline distT="0" distB="0" distL="0" distR="0" wp14:anchorId="36E1DEB4" wp14:editId="7CEA466A">
            <wp:extent cx="6515100" cy="3420428"/>
            <wp:effectExtent l="0" t="0" r="0" b="8890"/>
            <wp:docPr id="16" name="Picture 16" descr="Average home price in the U.S. is rising: $348K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erage home price in the U.S. is rising: $348K in 2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3420428"/>
                    </a:xfrm>
                    <a:prstGeom prst="rect">
                      <a:avLst/>
                    </a:prstGeom>
                    <a:noFill/>
                    <a:ln>
                      <a:noFill/>
                    </a:ln>
                  </pic:spPr>
                </pic:pic>
              </a:graphicData>
            </a:graphic>
          </wp:inline>
        </w:drawing>
      </w: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1C3E2F" w:rsidRPr="005F5AE4" w:rsidRDefault="001C3E2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B70876" w:rsidRPr="005F5AE4" w:rsidRDefault="00B70876" w:rsidP="00B70876">
      <w:pPr>
        <w:tabs>
          <w:tab w:val="left" w:pos="10260"/>
        </w:tabs>
      </w:pPr>
    </w:p>
    <w:p w:rsidR="001351ED" w:rsidRPr="005F5AE4" w:rsidRDefault="001351ED" w:rsidP="001351ED">
      <w:pPr>
        <w:tabs>
          <w:tab w:val="left" w:pos="10260"/>
        </w:tabs>
      </w:pPr>
    </w:p>
    <w:p w:rsidR="001351ED" w:rsidRPr="005F5AE4" w:rsidRDefault="000C6CA1">
      <w:r w:rsidRPr="005F5AE4">
        <w:rPr>
          <w:noProof/>
          <w:lang w:val="en-IN" w:eastAsia="en-IN"/>
        </w:rPr>
        <mc:AlternateContent>
          <mc:Choice Requires="wps">
            <w:drawing>
              <wp:anchor distT="36576" distB="36576" distL="36576" distR="36576" simplePos="0" relativeHeight="251652608" behindDoc="0" locked="0" layoutInCell="1" allowOverlap="1" wp14:anchorId="578475B3" wp14:editId="0FA444CC">
                <wp:simplePos x="0" y="0"/>
                <wp:positionH relativeFrom="column">
                  <wp:posOffset>-457200</wp:posOffset>
                </wp:positionH>
                <wp:positionV relativeFrom="page">
                  <wp:posOffset>7658100</wp:posOffset>
                </wp:positionV>
                <wp:extent cx="4981575" cy="1671320"/>
                <wp:effectExtent l="0" t="0" r="9525" b="508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6713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7B7D0C" w:rsidRDefault="005D31AA" w:rsidP="00FD7487">
                            <w:pPr>
                              <w:rPr>
                                <w:rStyle w:val="sowc"/>
                                <w:rFonts w:ascii="Arial" w:hAnsi="Arial" w:cs="Arial"/>
                                <w:b/>
                                <w:bCs/>
                                <w:color w:val="FFFFFF" w:themeColor="background1"/>
                                <w:sz w:val="72"/>
                                <w:szCs w:val="72"/>
                                <w:lang w:val="en-IN"/>
                              </w:rPr>
                            </w:pPr>
                            <w:r>
                              <w:rPr>
                                <w:rStyle w:val="sowc"/>
                                <w:rFonts w:ascii="Arial" w:hAnsi="Arial" w:cs="Arial"/>
                                <w:b/>
                                <w:bCs/>
                                <w:color w:val="FFFFFF" w:themeColor="background1"/>
                                <w:sz w:val="72"/>
                                <w:szCs w:val="72"/>
                                <w:lang w:val="en-IN"/>
                              </w:rPr>
                              <w:t xml:space="preserve">FACTOR AFFECTING </w:t>
                            </w:r>
                          </w:p>
                          <w:p w:rsidR="005D31AA" w:rsidRDefault="005D31AA" w:rsidP="00FD7487">
                            <w:pPr>
                              <w:rPr>
                                <w:rStyle w:val="sowc"/>
                                <w:rFonts w:ascii="Arial" w:hAnsi="Arial" w:cs="Arial"/>
                                <w:b/>
                                <w:bCs/>
                                <w:color w:val="FFFFFF" w:themeColor="background1"/>
                                <w:sz w:val="72"/>
                                <w:szCs w:val="72"/>
                                <w:lang w:val="en-IN"/>
                              </w:rPr>
                            </w:pPr>
                            <w:r>
                              <w:rPr>
                                <w:rStyle w:val="sowc"/>
                                <w:rFonts w:ascii="Arial" w:hAnsi="Arial" w:cs="Arial"/>
                                <w:b/>
                                <w:bCs/>
                                <w:color w:val="FFFFFF" w:themeColor="background1"/>
                                <w:sz w:val="72"/>
                                <w:szCs w:val="72"/>
                                <w:lang w:val="en-IN"/>
                              </w:rPr>
                              <w:t>USA – HOUSE PRICES</w:t>
                            </w:r>
                          </w:p>
                          <w:p w:rsidR="005D31AA" w:rsidRPr="005D31AA" w:rsidRDefault="005D31AA" w:rsidP="00FD7487">
                            <w:pPr>
                              <w:rPr>
                                <w:rStyle w:val="sowc"/>
                                <w:rFonts w:ascii="Arial" w:hAnsi="Arial" w:cs="Arial"/>
                                <w:b/>
                                <w:bCs/>
                                <w:color w:val="FFFFFF" w:themeColor="background1"/>
                                <w:sz w:val="72"/>
                                <w:szCs w:val="72"/>
                                <w:lang w:val="en-I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6pt;margin-top:603pt;width:392.25pt;height:131.6pt;z-index:251652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" filled="f" fillcolor="#fffffe" stroked="f" strokecolor="#212120" insetpen="t">
                <v:textbox inset="2.88pt,2.88pt,2.88pt,2.88pt">
                  <w:txbxContent>
                    <w:p w:rsidR="007B7D0C" w:rsidRDefault="005D31AA" w:rsidP="00FD7487">
                      <w:pPr>
                        <w:rPr>
                          <w:rStyle w:val="sowc"/>
                          <w:rFonts w:ascii="Arial" w:hAnsi="Arial" w:cs="Arial"/>
                          <w:b/>
                          <w:bCs/>
                          <w:color w:val="FFFFFF" w:themeColor="background1"/>
                          <w:sz w:val="72"/>
                          <w:szCs w:val="72"/>
                          <w:lang w:val="en-IN"/>
                        </w:rPr>
                      </w:pPr>
                      <w:r>
                        <w:rPr>
                          <w:rStyle w:val="sowc"/>
                          <w:rFonts w:ascii="Arial" w:hAnsi="Arial" w:cs="Arial"/>
                          <w:b/>
                          <w:bCs/>
                          <w:color w:val="FFFFFF" w:themeColor="background1"/>
                          <w:sz w:val="72"/>
                          <w:szCs w:val="72"/>
                          <w:lang w:val="en-IN"/>
                        </w:rPr>
                        <w:t xml:space="preserve">FACTOR AFFECTING </w:t>
                      </w:r>
                    </w:p>
                    <w:p w:rsidR="005D31AA" w:rsidRDefault="005D31AA" w:rsidP="00FD7487">
                      <w:pPr>
                        <w:rPr>
                          <w:rStyle w:val="sowc"/>
                          <w:rFonts w:ascii="Arial" w:hAnsi="Arial" w:cs="Arial"/>
                          <w:b/>
                          <w:bCs/>
                          <w:color w:val="FFFFFF" w:themeColor="background1"/>
                          <w:sz w:val="72"/>
                          <w:szCs w:val="72"/>
                          <w:lang w:val="en-IN"/>
                        </w:rPr>
                      </w:pPr>
                      <w:r>
                        <w:rPr>
                          <w:rStyle w:val="sowc"/>
                          <w:rFonts w:ascii="Arial" w:hAnsi="Arial" w:cs="Arial"/>
                          <w:b/>
                          <w:bCs/>
                          <w:color w:val="FFFFFF" w:themeColor="background1"/>
                          <w:sz w:val="72"/>
                          <w:szCs w:val="72"/>
                          <w:lang w:val="en-IN"/>
                        </w:rPr>
                        <w:t>USA – HOUSE PRICES</w:t>
                      </w:r>
                    </w:p>
                    <w:p w:rsidR="005D31AA" w:rsidRPr="005D31AA" w:rsidRDefault="005D31AA" w:rsidP="00FD7487">
                      <w:pPr>
                        <w:rPr>
                          <w:rStyle w:val="sowc"/>
                          <w:rFonts w:ascii="Arial" w:hAnsi="Arial" w:cs="Arial"/>
                          <w:b/>
                          <w:bCs/>
                          <w:color w:val="FFFFFF" w:themeColor="background1"/>
                          <w:sz w:val="72"/>
                          <w:szCs w:val="72"/>
                          <w:lang w:val="en-IN"/>
                        </w:rPr>
                      </w:pPr>
                    </w:p>
                  </w:txbxContent>
                </v:textbox>
                <w10:wrap anchory="page"/>
              </v:shape>
            </w:pict>
          </mc:Fallback>
        </mc:AlternateContent>
      </w:r>
      <w:r w:rsidR="001351ED" w:rsidRPr="005F5AE4">
        <w:br w:type="page"/>
      </w:r>
    </w:p>
    <w:p w:rsidR="00340A3A" w:rsidRDefault="00340A3A" w:rsidP="00340A3A">
      <w:pPr>
        <w:pStyle w:val="ListParagraph"/>
        <w:tabs>
          <w:tab w:val="left" w:pos="10260"/>
        </w:tabs>
        <w:spacing w:line="276" w:lineRule="auto"/>
      </w:pPr>
      <w:r w:rsidRPr="005F5AE4">
        <w:rPr>
          <w:noProof/>
          <w:lang w:val="en-IN" w:eastAsia="en-IN"/>
        </w:rPr>
        <w:lastRenderedPageBreak/>
        <mc:AlternateContent>
          <mc:Choice Requires="wps">
            <w:drawing>
              <wp:anchor distT="0" distB="0" distL="114300" distR="114300" simplePos="0" relativeHeight="251708928" behindDoc="0" locked="0" layoutInCell="1" allowOverlap="1" wp14:anchorId="6C72FD3C" wp14:editId="1269E44E">
                <wp:simplePos x="0" y="0"/>
                <wp:positionH relativeFrom="column">
                  <wp:posOffset>-672465</wp:posOffset>
                </wp:positionH>
                <wp:positionV relativeFrom="paragraph">
                  <wp:posOffset>-481330</wp:posOffset>
                </wp:positionV>
                <wp:extent cx="7646035" cy="548640"/>
                <wp:effectExtent l="0" t="0" r="0" b="3810"/>
                <wp:wrapNone/>
                <wp:docPr id="194" name="Rectangle 194"/>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0A3A" w:rsidRPr="00340A3A" w:rsidRDefault="00340A3A" w:rsidP="00340A3A">
                            <w:pPr>
                              <w:rPr>
                                <w:rFonts w:ascii="Arial" w:hAnsi="Arial" w:cs="Arial"/>
                                <w:b/>
                                <w:color w:val="FFFFFF" w:themeColor="background1"/>
                                <w:sz w:val="56"/>
                                <w:szCs w:val="56"/>
                                <w:lang w:val="en-IN"/>
                              </w:rPr>
                            </w:pPr>
                            <w:r w:rsidRPr="00340A3A">
                              <w:rPr>
                                <w:rFonts w:ascii="Arial" w:hAnsi="Arial" w:cs="Arial"/>
                                <w:b/>
                                <w:color w:val="FFFFFF" w:themeColor="background1"/>
                                <w:sz w:val="56"/>
                                <w:szCs w:val="56"/>
                                <w:lang w:val="en-IN"/>
                              </w:rPr>
                              <w:t>Correlation Analysis between Key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4" o:spid="_x0000_s1029" style="position:absolute;left:0;text-align:left;margin-left:-52.95pt;margin-top:-37.9pt;width:602.05pt;height:43.2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" fillcolor="#7d0615 [3204]" stroked="f" strokeweight="2pt">
                <v:textbox>
                  <w:txbxContent>
                    <w:p w:rsidR="00340A3A" w:rsidRPr="00340A3A" w:rsidRDefault="00340A3A" w:rsidP="00340A3A">
                      <w:pPr>
                        <w:rPr>
                          <w:rFonts w:ascii="Arial" w:hAnsi="Arial" w:cs="Arial"/>
                          <w:b/>
                          <w:color w:val="FFFFFF" w:themeColor="background1"/>
                          <w:sz w:val="56"/>
                          <w:szCs w:val="56"/>
                          <w:lang w:val="en-IN"/>
                        </w:rPr>
                      </w:pPr>
                      <w:r w:rsidRPr="00340A3A">
                        <w:rPr>
                          <w:rFonts w:ascii="Arial" w:hAnsi="Arial" w:cs="Arial"/>
                          <w:b/>
                          <w:color w:val="FFFFFF" w:themeColor="background1"/>
                          <w:sz w:val="56"/>
                          <w:szCs w:val="56"/>
                          <w:lang w:val="en-IN"/>
                        </w:rPr>
                        <w:t>Correlation Analysis between Key Factors</w:t>
                      </w:r>
                    </w:p>
                  </w:txbxContent>
                </v:textbox>
              </v:rect>
            </w:pict>
          </mc:Fallback>
        </mc:AlternateContent>
      </w:r>
      <w:r w:rsidRPr="00340A3A">
        <w:drawing>
          <wp:inline distT="0" distB="0" distL="0" distR="0" wp14:anchorId="1FE5AB55" wp14:editId="48EAA2C3">
            <wp:extent cx="5718433" cy="3051958"/>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25324" cy="3055636"/>
                    </a:xfrm>
                    <a:prstGeom prst="rect">
                      <a:avLst/>
                    </a:prstGeom>
                  </pic:spPr>
                </pic:pic>
              </a:graphicData>
            </a:graphic>
          </wp:inline>
        </w:drawing>
      </w:r>
    </w:p>
    <w:p w:rsidR="00340A3A" w:rsidRDefault="00340A3A" w:rsidP="00340A3A">
      <w:pPr>
        <w:pStyle w:val="Heading3"/>
        <w:spacing w:before="186"/>
        <w:rPr>
          <w:rFonts w:ascii="inherit" w:hAnsi="inherit"/>
          <w:color w:val="000000"/>
        </w:rPr>
      </w:pPr>
    </w:p>
    <w:p w:rsidR="00340A3A" w:rsidRDefault="00340A3A" w:rsidP="00340A3A">
      <w:pPr>
        <w:pStyle w:val="Heading3"/>
        <w:spacing w:before="186"/>
        <w:rPr>
          <w:rFonts w:ascii="inherit" w:hAnsi="inherit"/>
          <w:color w:val="000000"/>
        </w:rPr>
      </w:pPr>
    </w:p>
    <w:p w:rsidR="00340A3A" w:rsidRDefault="00340A3A" w:rsidP="00340A3A">
      <w:pPr>
        <w:pStyle w:val="Heading3"/>
        <w:spacing w:before="186"/>
        <w:rPr>
          <w:rFonts w:ascii="inherit" w:hAnsi="inherit"/>
          <w:color w:val="000000"/>
        </w:rPr>
      </w:pPr>
      <w:r>
        <w:rPr>
          <w:rFonts w:ascii="inherit" w:hAnsi="inherit"/>
          <w:color w:val="000000"/>
        </w:rPr>
        <w:t>Summary of Correlation Analysis between Key Factors and House Prices</w:t>
      </w:r>
    </w:p>
    <w:p w:rsidR="00340A3A" w:rsidRDefault="00340A3A" w:rsidP="00340A3A">
      <w:pPr>
        <w:pStyle w:val="Heading3"/>
        <w:spacing w:before="186"/>
        <w:rPr>
          <w:rFonts w:ascii="inherit" w:hAnsi="inherit"/>
          <w:color w:val="000000"/>
        </w:rPr>
      </w:pPr>
      <w:r>
        <w:rPr>
          <w:rFonts w:ascii="inherit" w:hAnsi="inherit"/>
          <w:color w:val="000000"/>
        </w:rPr>
        <w:t>Negative Correlation</w:t>
      </w:r>
    </w:p>
    <w:p w:rsidR="00340A3A" w:rsidRDefault="00340A3A" w:rsidP="00340A3A">
      <w:pPr>
        <w:pStyle w:val="NormalWeb"/>
        <w:numPr>
          <w:ilvl w:val="0"/>
          <w:numId w:val="18"/>
        </w:numPr>
        <w:spacing w:before="0" w:beforeAutospacing="0" w:after="0" w:afterAutospacing="0"/>
        <w:rPr>
          <w:rFonts w:ascii="Helvetica" w:hAnsi="Helvetica"/>
          <w:color w:val="000000"/>
          <w:sz w:val="21"/>
          <w:szCs w:val="21"/>
        </w:rPr>
      </w:pPr>
      <w:r>
        <w:rPr>
          <w:rStyle w:val="Strong"/>
          <w:rFonts w:ascii="Helvetica" w:hAnsi="Helvetica"/>
          <w:color w:val="000000"/>
          <w:sz w:val="21"/>
          <w:szCs w:val="21"/>
        </w:rPr>
        <w:t>Unemployment Rate:</w:t>
      </w:r>
      <w:r>
        <w:rPr>
          <w:rFonts w:ascii="Helvetica" w:hAnsi="Helvetica"/>
          <w:color w:val="000000"/>
          <w:sz w:val="21"/>
          <w:szCs w:val="21"/>
        </w:rPr>
        <w:t> When there are more people without jobs, it usually means people might struggle to buy houses. High unemployment often brings house prices down because fewer people can afford to buy homes.</w:t>
      </w:r>
    </w:p>
    <w:p w:rsidR="00340A3A" w:rsidRDefault="00340A3A" w:rsidP="00340A3A">
      <w:pPr>
        <w:pStyle w:val="NormalWeb"/>
        <w:numPr>
          <w:ilvl w:val="0"/>
          <w:numId w:val="18"/>
        </w:numPr>
        <w:spacing w:before="0" w:beforeAutospacing="0" w:after="0" w:afterAutospacing="0"/>
        <w:rPr>
          <w:rFonts w:ascii="Helvetica" w:hAnsi="Helvetica"/>
          <w:color w:val="000000"/>
          <w:sz w:val="21"/>
          <w:szCs w:val="21"/>
        </w:rPr>
      </w:pPr>
      <w:r>
        <w:rPr>
          <w:rStyle w:val="Strong"/>
          <w:rFonts w:ascii="Helvetica" w:hAnsi="Helvetica"/>
          <w:color w:val="000000"/>
          <w:sz w:val="21"/>
          <w:szCs w:val="21"/>
        </w:rPr>
        <w:t>Vacant Houses:</w:t>
      </w:r>
      <w:r>
        <w:rPr>
          <w:rFonts w:ascii="Helvetica" w:hAnsi="Helvetica"/>
          <w:color w:val="000000"/>
          <w:sz w:val="21"/>
          <w:szCs w:val="21"/>
        </w:rPr>
        <w:t> Having lots of empty houses means there's too much supply and not enough demand. This can push house prices down because sellers might lower prices to attract buyers.</w:t>
      </w:r>
    </w:p>
    <w:p w:rsidR="00340A3A" w:rsidRDefault="00340A3A" w:rsidP="00340A3A">
      <w:pPr>
        <w:pStyle w:val="NormalWeb"/>
        <w:numPr>
          <w:ilvl w:val="0"/>
          <w:numId w:val="18"/>
        </w:numPr>
        <w:spacing w:before="0" w:beforeAutospacing="0" w:after="0" w:afterAutospacing="0"/>
        <w:rPr>
          <w:rFonts w:ascii="Helvetica" w:hAnsi="Helvetica"/>
          <w:color w:val="000000"/>
          <w:sz w:val="21"/>
          <w:szCs w:val="21"/>
        </w:rPr>
      </w:pPr>
      <w:r>
        <w:rPr>
          <w:rStyle w:val="Strong"/>
          <w:rFonts w:ascii="Helvetica" w:hAnsi="Helvetica"/>
          <w:color w:val="000000"/>
          <w:sz w:val="21"/>
          <w:szCs w:val="21"/>
        </w:rPr>
        <w:t>Mortgage Rate:</w:t>
      </w:r>
      <w:r>
        <w:rPr>
          <w:rFonts w:ascii="Helvetica" w:hAnsi="Helvetica"/>
          <w:color w:val="000000"/>
          <w:sz w:val="21"/>
          <w:szCs w:val="21"/>
        </w:rPr>
        <w:t> Expensive loans (higher mortgage rates) mean fewer people can afford to borrow money for a home. High rates might make people hesitate to buy, potentially slowing down house price growth.</w:t>
      </w:r>
    </w:p>
    <w:p w:rsidR="00340A3A" w:rsidRDefault="00340A3A" w:rsidP="00340A3A">
      <w:pPr>
        <w:pStyle w:val="NormalWeb"/>
        <w:numPr>
          <w:ilvl w:val="0"/>
          <w:numId w:val="18"/>
        </w:numPr>
        <w:spacing w:before="0" w:beforeAutospacing="0" w:after="0" w:afterAutospacing="0"/>
        <w:rPr>
          <w:rFonts w:ascii="Helvetica" w:hAnsi="Helvetica"/>
          <w:color w:val="000000"/>
          <w:sz w:val="21"/>
          <w:szCs w:val="21"/>
        </w:rPr>
      </w:pPr>
      <w:r>
        <w:rPr>
          <w:rStyle w:val="Strong"/>
          <w:rFonts w:ascii="Helvetica" w:hAnsi="Helvetica"/>
          <w:color w:val="000000"/>
          <w:sz w:val="21"/>
          <w:szCs w:val="21"/>
        </w:rPr>
        <w:t>Consumer Sentiment:</w:t>
      </w:r>
      <w:r>
        <w:rPr>
          <w:rFonts w:ascii="Helvetica" w:hAnsi="Helvetica"/>
          <w:color w:val="000000"/>
          <w:sz w:val="21"/>
          <w:szCs w:val="21"/>
        </w:rPr>
        <w:t> Low confidence in the economy might make people hold off on big purchases like houses, affecting how much they're willing to pay.</w:t>
      </w:r>
    </w:p>
    <w:p w:rsidR="00340A3A" w:rsidRDefault="00340A3A" w:rsidP="00340A3A">
      <w:pPr>
        <w:pStyle w:val="Heading3"/>
        <w:spacing w:before="372"/>
        <w:rPr>
          <w:rFonts w:ascii="inherit" w:hAnsi="inherit"/>
          <w:color w:val="000000"/>
          <w:sz w:val="27"/>
          <w:szCs w:val="27"/>
        </w:rPr>
      </w:pPr>
      <w:r>
        <w:rPr>
          <w:rFonts w:ascii="inherit" w:hAnsi="inherit"/>
          <w:color w:val="000000"/>
        </w:rPr>
        <w:t>Positive Correlation</w:t>
      </w:r>
    </w:p>
    <w:p w:rsidR="00340A3A" w:rsidRDefault="00340A3A" w:rsidP="00340A3A">
      <w:pPr>
        <w:pStyle w:val="NormalWeb"/>
        <w:numPr>
          <w:ilvl w:val="0"/>
          <w:numId w:val="19"/>
        </w:numPr>
        <w:spacing w:before="0" w:beforeAutospacing="0" w:after="0" w:afterAutospacing="0"/>
        <w:rPr>
          <w:rFonts w:ascii="Helvetica" w:hAnsi="Helvetica"/>
          <w:color w:val="000000"/>
          <w:sz w:val="21"/>
          <w:szCs w:val="21"/>
        </w:rPr>
      </w:pPr>
      <w:r>
        <w:rPr>
          <w:rStyle w:val="Strong"/>
          <w:rFonts w:ascii="Helvetica" w:hAnsi="Helvetica"/>
          <w:color w:val="000000"/>
          <w:sz w:val="21"/>
          <w:szCs w:val="21"/>
        </w:rPr>
        <w:t>CPI (Cost of Living):</w:t>
      </w:r>
      <w:r>
        <w:rPr>
          <w:rFonts w:ascii="Helvetica" w:hAnsi="Helvetica"/>
          <w:color w:val="000000"/>
          <w:sz w:val="21"/>
          <w:szCs w:val="21"/>
        </w:rPr>
        <w:t> When the overall cost of things goes up (inflation), including groceries, gas, etc., it often means houses might become more expensive too.</w:t>
      </w:r>
    </w:p>
    <w:p w:rsidR="00340A3A" w:rsidRDefault="00340A3A" w:rsidP="00340A3A">
      <w:pPr>
        <w:pStyle w:val="NormalWeb"/>
        <w:numPr>
          <w:ilvl w:val="0"/>
          <w:numId w:val="19"/>
        </w:numPr>
        <w:spacing w:before="0" w:beforeAutospacing="0" w:after="0" w:afterAutospacing="0"/>
        <w:rPr>
          <w:rFonts w:ascii="Helvetica" w:hAnsi="Helvetica"/>
          <w:color w:val="000000"/>
          <w:sz w:val="21"/>
          <w:szCs w:val="21"/>
        </w:rPr>
      </w:pPr>
      <w:r>
        <w:rPr>
          <w:rStyle w:val="Strong"/>
          <w:rFonts w:ascii="Helvetica" w:hAnsi="Helvetica"/>
          <w:color w:val="000000"/>
          <w:sz w:val="21"/>
          <w:szCs w:val="21"/>
        </w:rPr>
        <w:t>GDP (Economic Health):</w:t>
      </w:r>
      <w:r>
        <w:rPr>
          <w:rFonts w:ascii="Helvetica" w:hAnsi="Helvetica"/>
          <w:color w:val="000000"/>
          <w:sz w:val="21"/>
          <w:szCs w:val="21"/>
        </w:rPr>
        <w:t> A strong economy (higher GDP) can lead to an increase in house prices as people feel more confident and have more money to spend.</w:t>
      </w:r>
    </w:p>
    <w:p w:rsidR="00340A3A" w:rsidRDefault="00340A3A" w:rsidP="00340A3A">
      <w:pPr>
        <w:pStyle w:val="NormalWeb"/>
        <w:numPr>
          <w:ilvl w:val="0"/>
          <w:numId w:val="19"/>
        </w:numPr>
        <w:spacing w:before="0" w:beforeAutospacing="0" w:after="0" w:afterAutospacing="0"/>
        <w:rPr>
          <w:rFonts w:ascii="Helvetica" w:hAnsi="Helvetica"/>
          <w:color w:val="000000"/>
          <w:sz w:val="21"/>
          <w:szCs w:val="21"/>
        </w:rPr>
      </w:pPr>
      <w:r>
        <w:rPr>
          <w:rStyle w:val="Strong"/>
          <w:rFonts w:ascii="Helvetica" w:hAnsi="Helvetica"/>
          <w:color w:val="000000"/>
          <w:sz w:val="21"/>
          <w:szCs w:val="21"/>
        </w:rPr>
        <w:t>Monthly New House Construction:</w:t>
      </w:r>
      <w:r>
        <w:rPr>
          <w:rFonts w:ascii="Helvetica" w:hAnsi="Helvetica"/>
          <w:color w:val="000000"/>
          <w:sz w:val="21"/>
          <w:szCs w:val="21"/>
        </w:rPr>
        <w:t> More new houses mean more choices for buyers. But too many new houses and not enough buyers could lead to price drops.</w:t>
      </w:r>
    </w:p>
    <w:p w:rsidR="00340A3A" w:rsidRDefault="00340A3A" w:rsidP="00340A3A">
      <w:pPr>
        <w:pStyle w:val="NormalWeb"/>
        <w:numPr>
          <w:ilvl w:val="0"/>
          <w:numId w:val="19"/>
        </w:numPr>
        <w:spacing w:before="0" w:beforeAutospacing="0" w:after="0" w:afterAutospacing="0"/>
        <w:rPr>
          <w:rFonts w:ascii="Helvetica" w:hAnsi="Helvetica"/>
          <w:color w:val="000000"/>
          <w:sz w:val="21"/>
          <w:szCs w:val="21"/>
        </w:rPr>
      </w:pPr>
      <w:r>
        <w:rPr>
          <w:rStyle w:val="Strong"/>
          <w:rFonts w:ascii="Helvetica" w:hAnsi="Helvetica"/>
          <w:color w:val="000000"/>
          <w:sz w:val="21"/>
          <w:szCs w:val="21"/>
        </w:rPr>
        <w:t>Construction Costs:</w:t>
      </w:r>
      <w:r>
        <w:rPr>
          <w:rFonts w:ascii="Helvetica" w:hAnsi="Helvetica"/>
          <w:color w:val="000000"/>
          <w:sz w:val="21"/>
          <w:szCs w:val="21"/>
        </w:rPr>
        <w:t> Higher building expenses might lead to higher house prices as builders charge more to cover costs.</w:t>
      </w:r>
    </w:p>
    <w:p w:rsidR="00340A3A" w:rsidRDefault="00340A3A" w:rsidP="00340A3A">
      <w:pPr>
        <w:pStyle w:val="NormalWeb"/>
        <w:numPr>
          <w:ilvl w:val="0"/>
          <w:numId w:val="19"/>
        </w:numPr>
        <w:spacing w:before="0" w:beforeAutospacing="0" w:after="0" w:afterAutospacing="0"/>
        <w:rPr>
          <w:rFonts w:ascii="Helvetica" w:hAnsi="Helvetica"/>
          <w:color w:val="000000"/>
          <w:sz w:val="21"/>
          <w:szCs w:val="21"/>
        </w:rPr>
      </w:pPr>
      <w:r>
        <w:rPr>
          <w:rStyle w:val="Strong"/>
          <w:rFonts w:ascii="Helvetica" w:hAnsi="Helvetica"/>
          <w:color w:val="000000"/>
          <w:sz w:val="21"/>
          <w:szCs w:val="21"/>
        </w:rPr>
        <w:t>Population Trends:</w:t>
      </w:r>
      <w:r>
        <w:rPr>
          <w:rFonts w:ascii="Helvetica" w:hAnsi="Helvetica"/>
          <w:color w:val="000000"/>
          <w:sz w:val="21"/>
          <w:szCs w:val="21"/>
        </w:rPr>
        <w:t> More people moving in usually means higher demand for houses, potentially leading to higher prices.</w:t>
      </w:r>
    </w:p>
    <w:p w:rsidR="00340A3A" w:rsidRDefault="00340A3A" w:rsidP="00340A3A">
      <w:pPr>
        <w:pStyle w:val="ListParagraph"/>
        <w:tabs>
          <w:tab w:val="left" w:pos="10260"/>
        </w:tabs>
        <w:spacing w:line="276" w:lineRule="auto"/>
      </w:pPr>
    </w:p>
    <w:p w:rsidR="00340A3A" w:rsidRDefault="00340A3A" w:rsidP="00340A3A">
      <w:pPr>
        <w:pStyle w:val="ListParagraph"/>
        <w:tabs>
          <w:tab w:val="left" w:pos="10260"/>
        </w:tabs>
        <w:spacing w:line="276" w:lineRule="auto"/>
      </w:pPr>
    </w:p>
    <w:p w:rsidR="001C3E2F" w:rsidRDefault="001C3E2F" w:rsidP="00340A3A">
      <w:pPr>
        <w:pStyle w:val="ListParagraph"/>
        <w:tabs>
          <w:tab w:val="left" w:pos="10260"/>
        </w:tabs>
        <w:spacing w:line="276" w:lineRule="auto"/>
      </w:pPr>
      <w:r w:rsidRPr="005F5AE4">
        <w:br w:type="page"/>
      </w:r>
    </w:p>
    <w:p w:rsidR="00340A3A" w:rsidRPr="005F5AE4" w:rsidRDefault="00340A3A" w:rsidP="00340A3A">
      <w:pPr>
        <w:pStyle w:val="ListParagraph"/>
        <w:numPr>
          <w:ilvl w:val="0"/>
          <w:numId w:val="17"/>
        </w:numPr>
        <w:tabs>
          <w:tab w:val="left" w:pos="10260"/>
        </w:tabs>
        <w:spacing w:line="276" w:lineRule="auto"/>
      </w:pPr>
      <w:r w:rsidRPr="005F5AE4">
        <w:rPr>
          <w:noProof/>
          <w:lang w:val="en-IN" w:eastAsia="en-IN"/>
        </w:rPr>
        <w:lastRenderedPageBreak/>
        <mc:AlternateContent>
          <mc:Choice Requires="wps">
            <w:drawing>
              <wp:anchor distT="0" distB="0" distL="114300" distR="114300" simplePos="0" relativeHeight="251660800" behindDoc="0" locked="0" layoutInCell="1" allowOverlap="1" wp14:anchorId="46BB9CE4" wp14:editId="267EBA56">
                <wp:simplePos x="0" y="0"/>
                <wp:positionH relativeFrom="column">
                  <wp:posOffset>-480695</wp:posOffset>
                </wp:positionH>
                <wp:positionV relativeFrom="paragraph">
                  <wp:posOffset>-253365</wp:posOffset>
                </wp:positionV>
                <wp:extent cx="7646035" cy="548640"/>
                <wp:effectExtent l="0" t="0" r="0" b="3810"/>
                <wp:wrapNone/>
                <wp:docPr id="11" name="Rectangle 11"/>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61A8" w:rsidRPr="003A78C1" w:rsidRDefault="005D31AA" w:rsidP="007C61A8">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lang w:val="en-IN"/>
                              </w:rPr>
                              <w:t>FACTOR AFFECTING HOUSE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left:0;text-align:left;margin-left:-37.85pt;margin-top:-19.95pt;width:602.05pt;height:43.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" fillcolor="#7d0615 [3204]" stroked="f" strokeweight="2pt">
                <v:textbox>
                  <w:txbxContent>
                    <w:p w:rsidR="007C61A8" w:rsidRPr="003A78C1" w:rsidRDefault="005D31AA" w:rsidP="007C61A8">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lang w:val="en-IN"/>
                        </w:rPr>
                        <w:t>FACTOR AFFECTING HOUSE PRICES.</w:t>
                      </w:r>
                    </w:p>
                  </w:txbxContent>
                </v:textbox>
              </v:rect>
            </w:pict>
          </mc:Fallback>
        </mc:AlternateContent>
      </w:r>
    </w:p>
    <w:p w:rsidR="004A73BF" w:rsidRPr="005F5AE4" w:rsidRDefault="004A73BF" w:rsidP="00B70876">
      <w:pPr>
        <w:tabs>
          <w:tab w:val="left" w:pos="10260"/>
        </w:tabs>
      </w:pPr>
      <w:bookmarkStart w:id="0" w:name="_GoBack"/>
      <w:bookmarkEnd w:id="0"/>
    </w:p>
    <w:p w:rsidR="00F0441F" w:rsidRPr="005F5AE4" w:rsidRDefault="00F0441F" w:rsidP="00B70876">
      <w:pPr>
        <w:tabs>
          <w:tab w:val="left" w:pos="10260"/>
        </w:tabs>
      </w:pPr>
    </w:p>
    <w:p w:rsidR="00A87BD2" w:rsidRPr="005F5AE4" w:rsidRDefault="00A87BD2" w:rsidP="00A87BD2">
      <w:pPr>
        <w:pStyle w:val="MyHeadtitle"/>
        <w:spacing w:before="0" w:after="0" w:line="276" w:lineRule="auto"/>
        <w:jc w:val="both"/>
        <w:rPr>
          <w:rFonts w:ascii="Arial" w:hAnsi="Arial"/>
          <w:color w:val="CC9999" w:themeColor="accent2"/>
          <w:sz w:val="40"/>
          <w:szCs w:val="24"/>
        </w:rPr>
        <w:sectPr w:rsidR="00A87BD2" w:rsidRPr="005F5AE4" w:rsidSect="00A87BD2">
          <w:footerReference w:type="default" r:id="rId11"/>
          <w:pgSz w:w="12240" w:h="15840" w:code="1"/>
          <w:pgMar w:top="810" w:right="990" w:bottom="1620" w:left="990" w:header="360" w:footer="371" w:gutter="0"/>
          <w:cols w:space="708"/>
          <w:docGrid w:linePitch="360"/>
        </w:sectPr>
      </w:pPr>
    </w:p>
    <w:p w:rsidR="007C61A8" w:rsidRDefault="009468C6" w:rsidP="005F5AE4">
      <w:pPr>
        <w:pStyle w:val="ListParagraph"/>
        <w:numPr>
          <w:ilvl w:val="1"/>
          <w:numId w:val="6"/>
        </w:numPr>
        <w:tabs>
          <w:tab w:val="left" w:pos="10260"/>
        </w:tabs>
        <w:spacing w:line="276" w:lineRule="auto"/>
        <w:ind w:left="540" w:hanging="540"/>
        <w:rPr>
          <w:rFonts w:ascii="Arial" w:hAnsi="Arial" w:cs="Arial"/>
          <w:b/>
          <w:color w:val="CC9999" w:themeColor="accent2"/>
          <w:sz w:val="32"/>
        </w:rPr>
      </w:pPr>
      <w:r>
        <w:rPr>
          <w:rFonts w:ascii="Arial" w:hAnsi="Arial" w:cs="Arial"/>
          <w:b/>
          <w:color w:val="CC9999" w:themeColor="accent2"/>
          <w:sz w:val="32"/>
        </w:rPr>
        <w:lastRenderedPageBreak/>
        <w:t>Unemployment VS House Price.</w:t>
      </w:r>
    </w:p>
    <w:p w:rsidR="009468C6" w:rsidRDefault="009468C6" w:rsidP="009468C6">
      <w:pPr>
        <w:tabs>
          <w:tab w:val="left" w:pos="10260"/>
        </w:tabs>
        <w:spacing w:line="276" w:lineRule="auto"/>
        <w:rPr>
          <w:rFonts w:ascii="Arial" w:hAnsi="Arial" w:cs="Arial"/>
          <w:b/>
          <w:color w:val="CC9999" w:themeColor="accent2"/>
          <w:sz w:val="32"/>
        </w:rPr>
        <w:sectPr w:rsidR="009468C6" w:rsidSect="00A87BD2">
          <w:type w:val="continuous"/>
          <w:pgSz w:w="12240" w:h="15840" w:code="1"/>
          <w:pgMar w:top="630" w:right="990" w:bottom="1620" w:left="990" w:header="360" w:footer="371" w:gutter="0"/>
          <w:cols w:num="2" w:space="708"/>
          <w:docGrid w:linePitch="360"/>
        </w:sectPr>
      </w:pPr>
    </w:p>
    <w:p w:rsidR="009468C6" w:rsidRDefault="009468C6" w:rsidP="009468C6">
      <w:pPr>
        <w:tabs>
          <w:tab w:val="left" w:pos="10260"/>
        </w:tabs>
        <w:spacing w:line="276" w:lineRule="auto"/>
        <w:rPr>
          <w:rFonts w:ascii="Arial" w:hAnsi="Arial" w:cs="Arial"/>
          <w:b/>
          <w:color w:val="CC9999" w:themeColor="accent2"/>
          <w:sz w:val="32"/>
        </w:rPr>
      </w:pPr>
      <w:r w:rsidRPr="009468C6">
        <w:rPr>
          <w:rFonts w:ascii="Arial" w:hAnsi="Arial" w:cs="Arial"/>
          <w:b/>
          <w:color w:val="CC9999" w:themeColor="accent2"/>
          <w:sz w:val="32"/>
        </w:rPr>
        <w:lastRenderedPageBreak/>
        <w:drawing>
          <wp:inline distT="0" distB="0" distL="0" distR="0" wp14:anchorId="092B9FA6" wp14:editId="69984E59">
            <wp:extent cx="3032760" cy="239428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32760" cy="2394284"/>
                    </a:xfrm>
                    <a:prstGeom prst="rect">
                      <a:avLst/>
                    </a:prstGeom>
                  </pic:spPr>
                </pic:pic>
              </a:graphicData>
            </a:graphic>
          </wp:inline>
        </w:drawing>
      </w:r>
    </w:p>
    <w:p w:rsidR="009468C6" w:rsidRPr="009468C6" w:rsidRDefault="009468C6" w:rsidP="009468C6">
      <w:pPr>
        <w:tabs>
          <w:tab w:val="left" w:pos="10260"/>
        </w:tabs>
        <w:spacing w:line="276" w:lineRule="auto"/>
        <w:rPr>
          <w:rFonts w:ascii="Arial" w:hAnsi="Arial" w:cs="Arial"/>
          <w:b/>
          <w:color w:val="CC9999" w:themeColor="accent2"/>
          <w:sz w:val="32"/>
        </w:rPr>
      </w:pPr>
      <w:r w:rsidRPr="009468C6">
        <w:rPr>
          <w:rFonts w:ascii="Arial" w:hAnsi="Arial" w:cs="Arial"/>
          <w:color w:val="374151"/>
        </w:rPr>
        <w:t xml:space="preserve">The relationship between unemployment and house prices in the USA has shown a distinct correlation, where high unemployment often corresponds to lower house prices. However, amid the recent economic shifts, particularly during the height of the COVID-19 pandemic, this </w:t>
      </w:r>
      <w:r w:rsidRPr="009468C6">
        <w:rPr>
          <w:rFonts w:ascii="Arial" w:hAnsi="Arial" w:cs="Arial"/>
          <w:color w:val="374151"/>
        </w:rPr>
        <w:lastRenderedPageBreak/>
        <w:t>correlation seemed to diverge. When unemployment rates soared, reaching unprecedented levels, the housing market surprisingly saw a surge in prices. Despite the high unemployment figures, house prices continued to rise. Now, as unemployment rates have gradually declined, the housing market has sustained its momentum with prices remaining notably high. This anomaly defied the traditional inverse relationship between unemployment and house prices, indicating various factors at play, such as government stimulus measures, low mortgage rates, and shifting buyer preferences, which collectively contributed to this unique market scenario.</w:t>
      </w:r>
    </w:p>
    <w:p w:rsidR="009468C6" w:rsidRDefault="009468C6" w:rsidP="009468C6">
      <w:pPr>
        <w:pStyle w:val="ListParagraph"/>
        <w:tabs>
          <w:tab w:val="left" w:pos="10260"/>
        </w:tabs>
        <w:spacing w:line="276" w:lineRule="auto"/>
        <w:ind w:left="540"/>
        <w:rPr>
          <w:rFonts w:ascii="Arial" w:hAnsi="Arial" w:cs="Arial"/>
          <w:b/>
          <w:color w:val="CC9999" w:themeColor="accent2"/>
          <w:sz w:val="32"/>
        </w:rPr>
        <w:sectPr w:rsidR="009468C6" w:rsidSect="009468C6">
          <w:type w:val="continuous"/>
          <w:pgSz w:w="12240" w:h="15840" w:code="1"/>
          <w:pgMar w:top="630" w:right="990" w:bottom="1620" w:left="990" w:header="360" w:footer="371" w:gutter="0"/>
          <w:cols w:num="2" w:space="709"/>
          <w:docGrid w:linePitch="360"/>
        </w:sectPr>
      </w:pPr>
    </w:p>
    <w:p w:rsidR="009468C6" w:rsidRPr="005F5AE4" w:rsidRDefault="009468C6" w:rsidP="009468C6">
      <w:pPr>
        <w:pStyle w:val="ListParagraph"/>
        <w:tabs>
          <w:tab w:val="left" w:pos="10260"/>
        </w:tabs>
        <w:spacing w:line="276" w:lineRule="auto"/>
        <w:ind w:left="540"/>
        <w:rPr>
          <w:rFonts w:ascii="Arial" w:hAnsi="Arial" w:cs="Arial"/>
          <w:b/>
          <w:color w:val="CC9999" w:themeColor="accent2"/>
          <w:sz w:val="32"/>
        </w:rPr>
      </w:pPr>
    </w:p>
    <w:p w:rsidR="007C61A8" w:rsidRPr="005F5AE4" w:rsidRDefault="007C61A8" w:rsidP="005F5AE4">
      <w:pPr>
        <w:pStyle w:val="My"/>
        <w:spacing w:line="276" w:lineRule="auto"/>
        <w:jc w:val="both"/>
        <w:rPr>
          <w:rFonts w:ascii="Arial" w:hAnsi="Arial"/>
          <w:b/>
          <w:color w:val="CC9999" w:themeColor="accent2"/>
          <w:lang w:val="en-US"/>
        </w:rPr>
      </w:pPr>
    </w:p>
    <w:p w:rsidR="00A87BD2" w:rsidRDefault="009468C6" w:rsidP="005F5AE4">
      <w:pPr>
        <w:pStyle w:val="ListParagraph"/>
        <w:numPr>
          <w:ilvl w:val="1"/>
          <w:numId w:val="6"/>
        </w:numPr>
        <w:spacing w:line="276" w:lineRule="auto"/>
        <w:ind w:left="630" w:hanging="630"/>
        <w:rPr>
          <w:rFonts w:ascii="Arial" w:hAnsi="Arial" w:cs="Arial"/>
          <w:b/>
          <w:color w:val="CC9999" w:themeColor="accent2"/>
          <w:sz w:val="32"/>
        </w:rPr>
      </w:pPr>
      <w:r>
        <w:rPr>
          <w:rFonts w:ascii="Arial" w:hAnsi="Arial" w:cs="Arial"/>
          <w:b/>
          <w:color w:val="CC9999" w:themeColor="accent2"/>
          <w:sz w:val="32"/>
        </w:rPr>
        <w:t>CPI VS HOUSE PRICES</w:t>
      </w:r>
    </w:p>
    <w:p w:rsidR="009468C6" w:rsidRPr="009468C6" w:rsidRDefault="009468C6" w:rsidP="009468C6">
      <w:pPr>
        <w:spacing w:line="276" w:lineRule="auto"/>
        <w:rPr>
          <w:rFonts w:ascii="Arial" w:hAnsi="Arial" w:cs="Arial"/>
          <w:b/>
          <w:color w:val="CC9999" w:themeColor="accent2"/>
          <w:sz w:val="32"/>
        </w:rPr>
      </w:pPr>
      <w:r w:rsidRPr="009468C6">
        <w:drawing>
          <wp:inline distT="0" distB="0" distL="0" distR="0" wp14:anchorId="2D277261" wp14:editId="5D5BBF4A">
            <wp:extent cx="3032760" cy="24451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2760" cy="2445121"/>
                    </a:xfrm>
                    <a:prstGeom prst="rect">
                      <a:avLst/>
                    </a:prstGeom>
                  </pic:spPr>
                </pic:pic>
              </a:graphicData>
            </a:graphic>
          </wp:inline>
        </w:drawing>
      </w:r>
    </w:p>
    <w:p w:rsidR="00A87BD2" w:rsidRDefault="009468C6" w:rsidP="005F5AE4">
      <w:pPr>
        <w:pStyle w:val="My"/>
        <w:spacing w:line="276" w:lineRule="auto"/>
        <w:ind w:firstLine="360"/>
        <w:jc w:val="both"/>
        <w:rPr>
          <w:rFonts w:ascii="Arial" w:hAnsi="Arial"/>
          <w:color w:val="374151"/>
          <w:lang w:val="en-IN"/>
        </w:rPr>
      </w:pPr>
      <w:r w:rsidRPr="009468C6">
        <w:rPr>
          <w:rFonts w:ascii="Arial" w:hAnsi="Arial"/>
          <w:color w:val="374151"/>
        </w:rPr>
        <w:lastRenderedPageBreak/>
        <w:t>The relationship between the Consumer Price Index (CPI) and prices, particularly in the housing market, traditionally suggests a connection where high CPI corresponds to higher prices and vice versa. However, recent market dynamics have presented an intriguing anomaly. Despite a decrease in the CPI, indicating relatively low inflation rates, prices in certain sectors, notably housing, have remained persistently high. This divergence from the conventional correlation between CPI and prices challenges the expected pattern. Despite the CPI reflecting lower inflationary pressures, housing prices have sustained their upward trajectory. This phenomenon suggests that</w:t>
      </w:r>
      <w:r>
        <w:rPr>
          <w:rFonts w:ascii="Segoe UI" w:hAnsi="Segoe UI" w:cs="Segoe UI"/>
          <w:color w:val="374151"/>
        </w:rPr>
        <w:t xml:space="preserve"> various other influential factors, such as </w:t>
      </w:r>
      <w:r w:rsidRPr="009468C6">
        <w:rPr>
          <w:rFonts w:ascii="Arial" w:hAnsi="Arial"/>
          <w:color w:val="374151"/>
        </w:rPr>
        <w:lastRenderedPageBreak/>
        <w:t xml:space="preserve">limited housing supply, increased demand, historically low mortgage rates, and speculative investment, are significantly outweighing the impact of CPI on the housing market. These factors collectively </w:t>
      </w:r>
      <w:r w:rsidRPr="009468C6">
        <w:rPr>
          <w:rFonts w:ascii="Arial" w:hAnsi="Arial"/>
          <w:color w:val="374151"/>
        </w:rPr>
        <w:lastRenderedPageBreak/>
        <w:t>contribute to the ongoing paradox where, despite a downtrend in CPI, prices, especially in the housing sector, have continued to soar.</w:t>
      </w:r>
    </w:p>
    <w:p w:rsidR="000F358A" w:rsidRPr="000F358A" w:rsidRDefault="000F358A" w:rsidP="005F5AE4">
      <w:pPr>
        <w:pStyle w:val="My"/>
        <w:spacing w:line="276" w:lineRule="auto"/>
        <w:ind w:firstLine="360"/>
        <w:jc w:val="both"/>
        <w:rPr>
          <w:rFonts w:ascii="Arial" w:hAnsi="Arial"/>
          <w:color w:val="CC9999" w:themeColor="accent2"/>
          <w:lang w:val="en-IN"/>
        </w:rPr>
      </w:pPr>
    </w:p>
    <w:p w:rsidR="000F358A" w:rsidRDefault="000F358A" w:rsidP="005F5AE4">
      <w:pPr>
        <w:pStyle w:val="ListParagraph"/>
        <w:numPr>
          <w:ilvl w:val="1"/>
          <w:numId w:val="6"/>
        </w:numPr>
        <w:spacing w:line="276" w:lineRule="auto"/>
        <w:ind w:left="630" w:hanging="630"/>
        <w:rPr>
          <w:rFonts w:ascii="Arial" w:hAnsi="Arial" w:cs="Arial"/>
          <w:b/>
          <w:color w:val="CC9999" w:themeColor="accent2"/>
          <w:sz w:val="32"/>
        </w:rPr>
        <w:sectPr w:rsidR="000F358A" w:rsidSect="000F358A">
          <w:type w:val="continuous"/>
          <w:pgSz w:w="12240" w:h="15840" w:code="1"/>
          <w:pgMar w:top="630" w:right="990" w:bottom="1620" w:left="990" w:header="360" w:footer="371" w:gutter="0"/>
          <w:cols w:num="2" w:space="709"/>
          <w:docGrid w:linePitch="360"/>
        </w:sectPr>
      </w:pPr>
    </w:p>
    <w:p w:rsidR="007C61A8" w:rsidRDefault="000F358A" w:rsidP="005F5AE4">
      <w:pPr>
        <w:pStyle w:val="ListParagraph"/>
        <w:numPr>
          <w:ilvl w:val="1"/>
          <w:numId w:val="6"/>
        </w:numPr>
        <w:spacing w:line="276" w:lineRule="auto"/>
        <w:ind w:left="630" w:hanging="630"/>
        <w:rPr>
          <w:rFonts w:ascii="Arial" w:hAnsi="Arial" w:cs="Arial"/>
          <w:b/>
          <w:color w:val="CC9999" w:themeColor="accent2"/>
          <w:sz w:val="32"/>
        </w:rPr>
      </w:pPr>
      <w:r>
        <w:rPr>
          <w:rFonts w:ascii="Arial" w:hAnsi="Arial" w:cs="Arial"/>
          <w:b/>
          <w:color w:val="CC9999" w:themeColor="accent2"/>
          <w:sz w:val="32"/>
        </w:rPr>
        <w:lastRenderedPageBreak/>
        <w:t>GDP VS HOUSE PRICES</w:t>
      </w:r>
    </w:p>
    <w:p w:rsidR="000F358A" w:rsidRDefault="000F358A" w:rsidP="000F358A">
      <w:pPr>
        <w:pStyle w:val="ListParagraph"/>
        <w:spacing w:line="276" w:lineRule="auto"/>
        <w:ind w:left="630"/>
        <w:rPr>
          <w:rFonts w:ascii="Arial" w:hAnsi="Arial" w:cs="Arial"/>
          <w:b/>
          <w:color w:val="CC9999" w:themeColor="accent2"/>
          <w:sz w:val="32"/>
        </w:rPr>
      </w:pPr>
    </w:p>
    <w:p w:rsidR="00A87BD2" w:rsidRDefault="000F358A" w:rsidP="000F358A">
      <w:pPr>
        <w:spacing w:line="276" w:lineRule="auto"/>
        <w:rPr>
          <w:rFonts w:ascii="Arial" w:hAnsi="Arial" w:cs="Arial"/>
          <w:b/>
          <w:color w:val="CC9999" w:themeColor="accent2"/>
          <w:sz w:val="32"/>
        </w:rPr>
      </w:pPr>
      <w:r w:rsidRPr="000F358A">
        <w:drawing>
          <wp:inline distT="0" distB="0" distL="0" distR="0" wp14:anchorId="3DA8E3C8" wp14:editId="133747C6">
            <wp:extent cx="3032760" cy="23121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32760" cy="2312158"/>
                    </a:xfrm>
                    <a:prstGeom prst="rect">
                      <a:avLst/>
                    </a:prstGeom>
                  </pic:spPr>
                </pic:pic>
              </a:graphicData>
            </a:graphic>
          </wp:inline>
        </w:drawing>
      </w:r>
    </w:p>
    <w:p w:rsidR="000F358A" w:rsidRPr="000F358A" w:rsidRDefault="000F358A" w:rsidP="000F358A">
      <w:pPr>
        <w:pStyle w:val="My"/>
        <w:spacing w:line="276" w:lineRule="auto"/>
        <w:jc w:val="both"/>
        <w:rPr>
          <w:rFonts w:ascii="Arial" w:hAnsi="Arial"/>
          <w:color w:val="CC9999" w:themeColor="accent2"/>
          <w:lang w:val="en-US"/>
        </w:rPr>
      </w:pPr>
      <w:r w:rsidRPr="000F358A">
        <w:rPr>
          <w:rFonts w:ascii="Arial" w:hAnsi="Arial"/>
          <w:color w:val="374151"/>
        </w:rPr>
        <w:t xml:space="preserve">The relationship between a nation's Gross Domestic Product (GDP) and prices, particularly within the housing market, often reflects a certain level of correlation. As the GDP of a nation experiences growth and </w:t>
      </w:r>
      <w:r w:rsidRPr="000F358A">
        <w:rPr>
          <w:rFonts w:ascii="Arial" w:hAnsi="Arial"/>
          <w:color w:val="374151"/>
        </w:rPr>
        <w:lastRenderedPageBreak/>
        <w:t>moves positively, it tends to stimulate economic activity, leading to increased consumer spending, business investments, and overall confidence in the market. This surge in economic activity commonly intertwines with a rise in housing demand. Consequently, when GDP is back on track and shows sustained growth, it frequently correlates with an upward trend in house prices. This pattern arises from heightened consumer optimism and purchasing power, leading to a greater demand for homes. Recent instances where GDP has rebounded or shown consistent growth have often coincided with periods of escalated house prices, underscoring the interplay between economic expansion and the flourishing housing market.</w:t>
      </w:r>
    </w:p>
    <w:p w:rsidR="00E9764D" w:rsidRDefault="00E9764D" w:rsidP="000F358A">
      <w:pPr>
        <w:tabs>
          <w:tab w:val="left" w:pos="10260"/>
        </w:tabs>
        <w:sectPr w:rsidR="00E9764D" w:rsidSect="000F358A">
          <w:type w:val="continuous"/>
          <w:pgSz w:w="12240" w:h="15840" w:code="1"/>
          <w:pgMar w:top="630" w:right="990" w:bottom="1620" w:left="990" w:header="360" w:footer="371" w:gutter="0"/>
          <w:cols w:num="2" w:space="709"/>
          <w:docGrid w:linePitch="360"/>
        </w:sectPr>
      </w:pPr>
    </w:p>
    <w:p w:rsidR="00E9764D" w:rsidRPr="00E9764D" w:rsidRDefault="00E9764D" w:rsidP="000F358A">
      <w:pPr>
        <w:tabs>
          <w:tab w:val="left" w:pos="10260"/>
        </w:tabs>
        <w:rPr>
          <w:rFonts w:ascii="Arial" w:hAnsi="Arial" w:cs="Arial"/>
        </w:rPr>
      </w:pPr>
    </w:p>
    <w:p w:rsidR="00E9764D" w:rsidRPr="00E9764D" w:rsidRDefault="00E9764D" w:rsidP="00E9764D">
      <w:pPr>
        <w:spacing w:line="276" w:lineRule="auto"/>
        <w:rPr>
          <w:rFonts w:ascii="Arial" w:hAnsi="Arial" w:cs="Arial"/>
          <w:b/>
          <w:color w:val="CC9999" w:themeColor="accent2"/>
          <w:sz w:val="32"/>
        </w:rPr>
      </w:pPr>
      <w:r w:rsidRPr="00E9764D">
        <w:rPr>
          <w:rFonts w:ascii="Arial" w:hAnsi="Arial" w:cs="Arial"/>
          <w:b/>
          <w:color w:val="CC9999" w:themeColor="accent2"/>
          <w:sz w:val="32"/>
        </w:rPr>
        <w:lastRenderedPageBreak/>
        <w:t>1.4 Mortgage R</w:t>
      </w:r>
      <w:r w:rsidRPr="00E9764D">
        <w:rPr>
          <w:rFonts w:ascii="Arial" w:hAnsi="Arial" w:cs="Arial"/>
          <w:b/>
          <w:color w:val="CC9999" w:themeColor="accent2"/>
          <w:sz w:val="32"/>
        </w:rPr>
        <w:t>ates</w:t>
      </w:r>
      <w:r w:rsidRPr="00E9764D">
        <w:rPr>
          <w:rFonts w:ascii="Arial" w:hAnsi="Arial" w:cs="Arial"/>
          <w:b/>
          <w:color w:val="CC9999" w:themeColor="accent2"/>
          <w:sz w:val="32"/>
        </w:rPr>
        <w:t xml:space="preserve"> VS House Price.</w:t>
      </w:r>
    </w:p>
    <w:p w:rsidR="00E9764D" w:rsidRPr="00E9764D" w:rsidRDefault="00E9764D" w:rsidP="00E9764D">
      <w:pPr>
        <w:spacing w:line="276" w:lineRule="auto"/>
        <w:rPr>
          <w:rFonts w:ascii="Arial" w:hAnsi="Arial" w:cs="Arial"/>
        </w:rPr>
        <w:sectPr w:rsidR="00E9764D" w:rsidRPr="00E9764D" w:rsidSect="00E9764D">
          <w:type w:val="continuous"/>
          <w:pgSz w:w="12240" w:h="15840" w:code="1"/>
          <w:pgMar w:top="630" w:right="990" w:bottom="1620" w:left="990" w:header="360" w:footer="371" w:gutter="0"/>
          <w:cols w:num="2" w:space="709"/>
          <w:docGrid w:linePitch="360"/>
        </w:sectPr>
      </w:pPr>
    </w:p>
    <w:p w:rsidR="00E9764D" w:rsidRPr="00E9764D" w:rsidRDefault="00E9764D" w:rsidP="00E9764D">
      <w:pPr>
        <w:spacing w:line="276" w:lineRule="auto"/>
        <w:rPr>
          <w:rFonts w:ascii="Arial" w:hAnsi="Arial" w:cs="Arial"/>
        </w:rPr>
      </w:pPr>
      <w:r w:rsidRPr="00E9764D">
        <w:rPr>
          <w:rFonts w:ascii="Arial" w:hAnsi="Arial" w:cs="Arial"/>
        </w:rPr>
        <w:lastRenderedPageBreak/>
        <w:drawing>
          <wp:inline distT="0" distB="0" distL="0" distR="0" wp14:anchorId="1D3B3E79" wp14:editId="04D85F7C">
            <wp:extent cx="3032125" cy="236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32125" cy="2367820"/>
                    </a:xfrm>
                    <a:prstGeom prst="rect">
                      <a:avLst/>
                    </a:prstGeom>
                  </pic:spPr>
                </pic:pic>
              </a:graphicData>
            </a:graphic>
          </wp:inline>
        </w:drawing>
      </w:r>
    </w:p>
    <w:p w:rsidR="00E9764D" w:rsidRPr="00E9764D" w:rsidRDefault="00E9764D" w:rsidP="00E9764D">
      <w:pPr>
        <w:spacing w:line="276" w:lineRule="auto"/>
        <w:rPr>
          <w:rFonts w:ascii="Arial" w:hAnsi="Arial" w:cs="Arial"/>
          <w:lang w:val="en-IN"/>
        </w:rPr>
      </w:pPr>
      <w:r w:rsidRPr="00E9764D">
        <w:rPr>
          <w:rFonts w:ascii="Arial" w:hAnsi="Arial" w:cs="Arial"/>
          <w:lang w:val="en-IN"/>
        </w:rPr>
        <w:t xml:space="preserve">The relationship between mortgage rates and house prices often follows an inverse pattern—when mortgage rates increase, there tends to be a downward pressure on </w:t>
      </w:r>
      <w:r w:rsidRPr="00E9764D">
        <w:rPr>
          <w:rFonts w:ascii="Arial" w:hAnsi="Arial" w:cs="Arial"/>
          <w:lang w:val="en-IN"/>
        </w:rPr>
        <w:lastRenderedPageBreak/>
        <w:t>house prices. Higher mortgage rates mean increased borrowing costs for potential homebuyers, which can decrease their purchasing power. Consequently, this decrease in affordability typically leads to reduced demand for homes, thereby potentially causing decline in house prices.</w:t>
      </w:r>
    </w:p>
    <w:p w:rsidR="00E9764D" w:rsidRPr="00CE2804" w:rsidRDefault="00E9764D" w:rsidP="00E9764D">
      <w:pPr>
        <w:spacing w:line="276" w:lineRule="auto"/>
        <w:rPr>
          <w:rFonts w:ascii="Arial" w:hAnsi="Arial" w:cs="Arial"/>
          <w:lang w:val="en-IN"/>
        </w:rPr>
      </w:pPr>
      <w:r w:rsidRPr="00E9764D">
        <w:rPr>
          <w:rFonts w:ascii="Arial" w:hAnsi="Arial" w:cs="Arial"/>
          <w:lang w:val="en-IN"/>
        </w:rPr>
        <w:t xml:space="preserve">However, recent trends have shown a departure from this traditional relationship. Despite mortgage rates being higher, house prices have continued to rise. This divergence suggests that other influential factors, such as supply shortages, robust demand driven by demographic shifts or limited inventory, and fierce competition </w:t>
      </w:r>
      <w:r w:rsidRPr="00E9764D">
        <w:rPr>
          <w:rFonts w:ascii="Arial" w:hAnsi="Arial" w:cs="Arial"/>
          <w:lang w:val="en-IN"/>
        </w:rPr>
        <w:lastRenderedPageBreak/>
        <w:t xml:space="preserve">among buyers, are outweighing the impact of higher mortgage rates on house prices. These factors collectively contribute to the counterintuitive scenario where both </w:t>
      </w:r>
      <w:r w:rsidRPr="00CE2804">
        <w:rPr>
          <w:rFonts w:ascii="Arial" w:hAnsi="Arial" w:cs="Arial"/>
          <w:lang w:val="en-IN"/>
        </w:rPr>
        <w:lastRenderedPageBreak/>
        <w:t>mortgage rates and house prices are concurrently high, challenging the usual assumption of a direct inverse relationship between the two variables.</w:t>
      </w:r>
    </w:p>
    <w:p w:rsidR="00E9764D" w:rsidRPr="00CE2804" w:rsidRDefault="00E9764D" w:rsidP="00E9764D">
      <w:pPr>
        <w:spacing w:line="276" w:lineRule="auto"/>
        <w:rPr>
          <w:rFonts w:ascii="Arial" w:hAnsi="Arial" w:cs="Arial"/>
        </w:rPr>
        <w:sectPr w:rsidR="00E9764D" w:rsidRPr="00CE2804" w:rsidSect="00CE2804">
          <w:type w:val="continuous"/>
          <w:pgSz w:w="12240" w:h="15840" w:code="1"/>
          <w:pgMar w:top="630" w:right="990" w:bottom="1620" w:left="990" w:header="360" w:footer="371" w:gutter="0"/>
          <w:cols w:num="2" w:space="709"/>
          <w:docGrid w:linePitch="360"/>
        </w:sectPr>
      </w:pPr>
    </w:p>
    <w:p w:rsidR="00E9764D" w:rsidRPr="00CE2804" w:rsidRDefault="00E9764D" w:rsidP="00E9764D">
      <w:pPr>
        <w:spacing w:line="276" w:lineRule="auto"/>
        <w:rPr>
          <w:rFonts w:ascii="Arial" w:hAnsi="Arial" w:cs="Arial"/>
        </w:rPr>
      </w:pPr>
    </w:p>
    <w:p w:rsidR="00E9764D" w:rsidRPr="00CE2804" w:rsidRDefault="00E9764D" w:rsidP="00E9764D">
      <w:pPr>
        <w:spacing w:line="276" w:lineRule="auto"/>
        <w:rPr>
          <w:rFonts w:ascii="Arial" w:hAnsi="Arial" w:cs="Arial"/>
        </w:rPr>
      </w:pPr>
    </w:p>
    <w:p w:rsidR="00E9764D" w:rsidRPr="00CE2804" w:rsidRDefault="00E9764D" w:rsidP="00E9764D">
      <w:pPr>
        <w:spacing w:line="276" w:lineRule="auto"/>
        <w:rPr>
          <w:rFonts w:ascii="Arial" w:hAnsi="Arial" w:cs="Arial"/>
          <w:b/>
          <w:color w:val="CC9999" w:themeColor="accent2"/>
          <w:sz w:val="32"/>
        </w:rPr>
      </w:pPr>
      <w:r w:rsidRPr="00CE2804">
        <w:rPr>
          <w:rFonts w:ascii="Arial" w:hAnsi="Arial" w:cs="Arial"/>
          <w:b/>
          <w:color w:val="CC9999" w:themeColor="accent2"/>
          <w:sz w:val="32"/>
        </w:rPr>
        <w:t>1.5 Vacant House VS House Price.</w:t>
      </w:r>
    </w:p>
    <w:p w:rsidR="00CE2804" w:rsidRPr="00CE2804" w:rsidRDefault="00CE2804" w:rsidP="00E9764D">
      <w:pPr>
        <w:spacing w:line="276" w:lineRule="auto"/>
        <w:rPr>
          <w:rFonts w:ascii="Arial" w:hAnsi="Arial" w:cs="Arial"/>
        </w:rPr>
      </w:pPr>
      <w:r w:rsidRPr="00CE2804">
        <w:rPr>
          <w:rFonts w:ascii="Arial" w:hAnsi="Arial" w:cs="Arial"/>
        </w:rPr>
        <w:drawing>
          <wp:inline distT="0" distB="0" distL="0" distR="0" wp14:anchorId="35A4C6BA" wp14:editId="0D68A637">
            <wp:extent cx="3032125" cy="224408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32125" cy="2244089"/>
                    </a:xfrm>
                    <a:prstGeom prst="rect">
                      <a:avLst/>
                    </a:prstGeom>
                  </pic:spPr>
                </pic:pic>
              </a:graphicData>
            </a:graphic>
          </wp:inline>
        </w:drawing>
      </w:r>
    </w:p>
    <w:p w:rsidR="00CE2804" w:rsidRPr="00CE2804" w:rsidRDefault="00CE2804" w:rsidP="00E9764D">
      <w:pPr>
        <w:spacing w:line="276" w:lineRule="auto"/>
        <w:rPr>
          <w:rFonts w:ascii="Arial" w:hAnsi="Arial" w:cs="Arial"/>
        </w:rPr>
      </w:pPr>
    </w:p>
    <w:p w:rsidR="00CE2804" w:rsidRPr="00CE2804" w:rsidRDefault="00CE2804" w:rsidP="00CE2804">
      <w:pPr>
        <w:spacing w:line="276" w:lineRule="auto"/>
        <w:rPr>
          <w:rFonts w:ascii="Arial" w:hAnsi="Arial" w:cs="Arial"/>
        </w:rPr>
      </w:pPr>
      <w:r w:rsidRPr="00CE2804">
        <w:rPr>
          <w:rFonts w:ascii="Arial" w:hAnsi="Arial" w:cs="Arial"/>
        </w:rPr>
        <w:t>The availability of vacant houses in the real estate market often plays a significant role in influencing house prices. When there's a surplus of vacant houses, it typically creates a scenario where supply exceeds demand, putting downward pressure on prices. However, if the number of vacant houses decreases, it often leads to a more balanced or constrained supply, potentially resulting in increased competition among buyers and a subsequent rise in house prices.</w:t>
      </w:r>
    </w:p>
    <w:p w:rsidR="00CE2804" w:rsidRPr="00CE2804" w:rsidRDefault="00CE2804" w:rsidP="00CE2804">
      <w:pPr>
        <w:spacing w:line="276" w:lineRule="auto"/>
        <w:rPr>
          <w:rFonts w:ascii="Arial" w:hAnsi="Arial" w:cs="Arial"/>
        </w:rPr>
      </w:pPr>
    </w:p>
    <w:p w:rsidR="00CE2804" w:rsidRDefault="00CE2804" w:rsidP="00CE2804">
      <w:pPr>
        <w:spacing w:line="276" w:lineRule="auto"/>
      </w:pPr>
      <w:r w:rsidRPr="00CE2804">
        <w:rPr>
          <w:rFonts w:ascii="Arial" w:hAnsi="Arial" w:cs="Arial"/>
        </w:rPr>
        <w:t xml:space="preserve">Recent trends have indicated a reduction in the number of vacant houses available in the market. This decline in vacancies could be contributing to the buoyancy of house prices. With a decrease in the surplus inventory of houses, the market might be experiencing a shift towards a more equilibrium state where demand is meeting a tighter supply. Consequently, this reduced availability of </w:t>
      </w:r>
      <w:r w:rsidRPr="00CE2804">
        <w:rPr>
          <w:rFonts w:ascii="Arial" w:hAnsi="Arial" w:cs="Arial"/>
        </w:rPr>
        <w:lastRenderedPageBreak/>
        <w:t>vacant houses might be a contributing factor to the sustained or rising house prices observed in the current real estate landscape</w:t>
      </w:r>
      <w:r>
        <w:t>.</w:t>
      </w:r>
    </w:p>
    <w:p w:rsidR="00CE2804" w:rsidRDefault="00CE2804" w:rsidP="00CE2804">
      <w:pPr>
        <w:spacing w:line="276" w:lineRule="auto"/>
      </w:pPr>
    </w:p>
    <w:p w:rsidR="00CE2804" w:rsidRDefault="00CE2804" w:rsidP="00CE2804">
      <w:pPr>
        <w:spacing w:line="276" w:lineRule="auto"/>
        <w:rPr>
          <w:rFonts w:ascii="Arial" w:hAnsi="Arial" w:cs="Arial"/>
          <w:b/>
          <w:color w:val="CC9999" w:themeColor="accent2"/>
          <w:sz w:val="32"/>
        </w:rPr>
      </w:pPr>
      <w:r w:rsidRPr="00CE2804">
        <w:rPr>
          <w:rFonts w:ascii="Arial" w:hAnsi="Arial" w:cs="Arial"/>
          <w:b/>
          <w:color w:val="CC9999" w:themeColor="accent2"/>
          <w:sz w:val="32"/>
        </w:rPr>
        <w:t>1.6 New House VS House Price</w:t>
      </w:r>
      <w:r>
        <w:rPr>
          <w:rFonts w:ascii="Arial" w:hAnsi="Arial" w:cs="Arial"/>
          <w:b/>
          <w:color w:val="CC9999" w:themeColor="accent2"/>
          <w:sz w:val="32"/>
        </w:rPr>
        <w:t>.</w:t>
      </w:r>
    </w:p>
    <w:p w:rsidR="00CE2804" w:rsidRDefault="00CE2804" w:rsidP="00CE2804">
      <w:pPr>
        <w:spacing w:line="276" w:lineRule="auto"/>
      </w:pPr>
      <w:r w:rsidRPr="00CE2804">
        <w:drawing>
          <wp:inline distT="0" distB="0" distL="0" distR="0" wp14:anchorId="0838AF81" wp14:editId="13C6DF9E">
            <wp:extent cx="3032125" cy="23662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32125" cy="2366221"/>
                    </a:xfrm>
                    <a:prstGeom prst="rect">
                      <a:avLst/>
                    </a:prstGeom>
                  </pic:spPr>
                </pic:pic>
              </a:graphicData>
            </a:graphic>
          </wp:inline>
        </w:drawing>
      </w:r>
    </w:p>
    <w:p w:rsidR="00CE2804" w:rsidRPr="00CE2804" w:rsidRDefault="00CE2804" w:rsidP="00CE2804">
      <w:pPr>
        <w:spacing w:line="276" w:lineRule="auto"/>
        <w:rPr>
          <w:rFonts w:ascii="Arial" w:hAnsi="Arial" w:cs="Arial"/>
        </w:rPr>
      </w:pPr>
      <w:r w:rsidRPr="00CE2804">
        <w:rPr>
          <w:rFonts w:ascii="Arial" w:hAnsi="Arial" w:cs="Arial"/>
        </w:rPr>
        <w:t>The availability of new houses in the real estate market also significantly influences house prices. When there's a shortage of new houses entering the market, it often leads to a constrained supply. This limited supply can create a scenario where demand outweighs available inventory, potentially resulting in increased competition among buyers and an upward pressure on house prices.</w:t>
      </w:r>
    </w:p>
    <w:p w:rsidR="00CE2804" w:rsidRPr="00CE2804" w:rsidRDefault="00CE2804" w:rsidP="00CE2804">
      <w:pPr>
        <w:spacing w:line="276" w:lineRule="auto"/>
        <w:rPr>
          <w:rFonts w:ascii="Arial" w:hAnsi="Arial" w:cs="Arial"/>
        </w:rPr>
      </w:pPr>
    </w:p>
    <w:p w:rsidR="00CE2804" w:rsidRDefault="00CE2804" w:rsidP="00CE2804">
      <w:pPr>
        <w:spacing w:line="276" w:lineRule="auto"/>
        <w:rPr>
          <w:rFonts w:ascii="Arial" w:hAnsi="Arial" w:cs="Arial"/>
        </w:rPr>
      </w:pPr>
      <w:r w:rsidRPr="00CE2804">
        <w:rPr>
          <w:rFonts w:ascii="Arial" w:hAnsi="Arial" w:cs="Arial"/>
        </w:rPr>
        <w:t xml:space="preserve">Recent trends have shown a decrease in the number of new houses being introduced to the market. This decline in new housing inventory might be contributing to the persistent or rising house prices. With fewer new houses available, the market may be experiencing a situation where the demand for housing surpasses the supply of newly constructed homes. Consequently, this </w:t>
      </w:r>
      <w:r w:rsidRPr="00CE2804">
        <w:rPr>
          <w:rFonts w:ascii="Arial" w:hAnsi="Arial" w:cs="Arial"/>
        </w:rPr>
        <w:lastRenderedPageBreak/>
        <w:t>scarcity of new housing options might be a contributing factor to the sustained or increasing house prices observed in the current real estate landscape.</w:t>
      </w:r>
    </w:p>
    <w:p w:rsidR="00CE2804" w:rsidRDefault="00CE2804" w:rsidP="00CE2804">
      <w:pPr>
        <w:spacing w:line="276" w:lineRule="auto"/>
        <w:rPr>
          <w:rFonts w:ascii="Arial" w:hAnsi="Arial" w:cs="Arial"/>
        </w:rPr>
      </w:pPr>
    </w:p>
    <w:p w:rsidR="00CE2804" w:rsidRDefault="00CE2804" w:rsidP="00CE2804">
      <w:pPr>
        <w:spacing w:line="276" w:lineRule="auto"/>
        <w:rPr>
          <w:rFonts w:ascii="Arial" w:hAnsi="Arial" w:cs="Arial"/>
          <w:b/>
          <w:color w:val="CC9999" w:themeColor="accent2"/>
          <w:sz w:val="32"/>
        </w:rPr>
      </w:pPr>
      <w:r w:rsidRPr="00CE2804">
        <w:rPr>
          <w:rFonts w:ascii="Arial" w:hAnsi="Arial" w:cs="Arial"/>
          <w:b/>
          <w:color w:val="CC9999" w:themeColor="accent2"/>
          <w:sz w:val="32"/>
        </w:rPr>
        <w:t xml:space="preserve">1.7 </w:t>
      </w:r>
      <w:r>
        <w:rPr>
          <w:rFonts w:ascii="Arial" w:hAnsi="Arial" w:cs="Arial"/>
          <w:b/>
          <w:color w:val="CC9999" w:themeColor="accent2"/>
          <w:sz w:val="32"/>
        </w:rPr>
        <w:t>Consumer S</w:t>
      </w:r>
      <w:r w:rsidRPr="00CE2804">
        <w:rPr>
          <w:rFonts w:ascii="Arial" w:hAnsi="Arial" w:cs="Arial"/>
          <w:b/>
          <w:color w:val="CC9999" w:themeColor="accent2"/>
          <w:sz w:val="32"/>
        </w:rPr>
        <w:t>entiment</w:t>
      </w:r>
      <w:r w:rsidRPr="00CE2804">
        <w:rPr>
          <w:rFonts w:ascii="Arial" w:hAnsi="Arial" w:cs="Arial"/>
          <w:b/>
          <w:color w:val="CC9999" w:themeColor="accent2"/>
          <w:sz w:val="32"/>
        </w:rPr>
        <w:t xml:space="preserve"> VS House Prices.</w:t>
      </w:r>
    </w:p>
    <w:p w:rsidR="008728F1" w:rsidRPr="008728F1" w:rsidRDefault="008728F1" w:rsidP="00CE2804">
      <w:pPr>
        <w:spacing w:line="276" w:lineRule="auto"/>
        <w:rPr>
          <w:rFonts w:ascii="Arial" w:hAnsi="Arial" w:cs="Arial"/>
        </w:rPr>
      </w:pPr>
      <w:r w:rsidRPr="008728F1">
        <w:rPr>
          <w:rFonts w:ascii="Arial" w:hAnsi="Arial" w:cs="Arial"/>
        </w:rPr>
        <w:drawing>
          <wp:inline distT="0" distB="0" distL="0" distR="0" wp14:anchorId="70F51B8F" wp14:editId="062F34C3">
            <wp:extent cx="3032125" cy="23126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32125" cy="2312638"/>
                    </a:xfrm>
                    <a:prstGeom prst="rect">
                      <a:avLst/>
                    </a:prstGeom>
                  </pic:spPr>
                </pic:pic>
              </a:graphicData>
            </a:graphic>
          </wp:inline>
        </w:drawing>
      </w:r>
    </w:p>
    <w:p w:rsidR="008728F1" w:rsidRPr="008728F1" w:rsidRDefault="008728F1" w:rsidP="008728F1">
      <w:pPr>
        <w:spacing w:line="276" w:lineRule="auto"/>
        <w:rPr>
          <w:rFonts w:ascii="Arial" w:hAnsi="Arial" w:cs="Arial"/>
        </w:rPr>
      </w:pPr>
      <w:r w:rsidRPr="008728F1">
        <w:rPr>
          <w:rFonts w:ascii="Arial" w:hAnsi="Arial" w:cs="Arial"/>
        </w:rPr>
        <w:t>Consumer sentiment, reflecting public perception and confidence in the economy, does play a role in influencing housing market dynamics. When consumer sentiment decreases, it can signal caution or uncertainty among potential homebuyers. This cautious sentiment may lead to reduced willingness to make significant financial commitments, potentially impacting housing demand and subsequently affecting house prices.</w:t>
      </w:r>
    </w:p>
    <w:p w:rsidR="008728F1" w:rsidRPr="008728F1" w:rsidRDefault="008728F1" w:rsidP="008728F1">
      <w:pPr>
        <w:spacing w:line="276" w:lineRule="auto"/>
        <w:rPr>
          <w:rFonts w:ascii="Arial" w:hAnsi="Arial" w:cs="Arial"/>
        </w:rPr>
      </w:pPr>
    </w:p>
    <w:p w:rsidR="008728F1" w:rsidRDefault="008728F1" w:rsidP="008728F1">
      <w:pPr>
        <w:spacing w:line="276" w:lineRule="auto"/>
      </w:pPr>
      <w:r w:rsidRPr="008728F1">
        <w:rPr>
          <w:rFonts w:ascii="Arial" w:hAnsi="Arial" w:cs="Arial"/>
        </w:rPr>
        <w:t xml:space="preserve">However, recent market behavior has shown an interesting divergence from this traditional correlation between consumer sentiment and house prices. Despite a decline in consumer sentiment, where individuals might express concerns about economic conditions or future prospects, house prices have remained notably high. This divergence suggests that other overriding factors, such as supply shortages, historically low mortgage rates, demographic </w:t>
      </w:r>
      <w:r w:rsidRPr="008728F1">
        <w:rPr>
          <w:rFonts w:ascii="Arial" w:hAnsi="Arial" w:cs="Arial"/>
        </w:rPr>
        <w:lastRenderedPageBreak/>
        <w:t>shifts, and pent-up demand, are exerting stronger influences on the housing market than the downturn in consumer sentiment. These factors collectively contribute to the unexpected scenario where, despite a decrease in consumer confidence, house prices persist at elevated levels, showcasing the complexity and resilience of the real estate market amid shifting sentiments</w:t>
      </w:r>
      <w:r>
        <w:t>.</w:t>
      </w:r>
    </w:p>
    <w:p w:rsidR="008728F1" w:rsidRDefault="008728F1" w:rsidP="008728F1">
      <w:pPr>
        <w:spacing w:line="276" w:lineRule="auto"/>
      </w:pPr>
    </w:p>
    <w:p w:rsidR="008728F1" w:rsidRDefault="008728F1" w:rsidP="008728F1">
      <w:pPr>
        <w:spacing w:line="276" w:lineRule="auto"/>
        <w:rPr>
          <w:rFonts w:ascii="Arial" w:hAnsi="Arial" w:cs="Arial"/>
          <w:b/>
          <w:color w:val="CC9999" w:themeColor="accent2"/>
          <w:sz w:val="32"/>
        </w:rPr>
      </w:pPr>
      <w:r w:rsidRPr="008728F1">
        <w:rPr>
          <w:rFonts w:ascii="Arial" w:hAnsi="Arial" w:cs="Arial"/>
          <w:b/>
          <w:color w:val="CC9999" w:themeColor="accent2"/>
          <w:sz w:val="32"/>
        </w:rPr>
        <w:t>1.8 C</w:t>
      </w:r>
      <w:r w:rsidRPr="008728F1">
        <w:rPr>
          <w:rFonts w:ascii="Arial" w:hAnsi="Arial" w:cs="Arial"/>
          <w:b/>
          <w:color w:val="CC9999" w:themeColor="accent2"/>
          <w:sz w:val="32"/>
        </w:rPr>
        <w:t>onstruction costs</w:t>
      </w:r>
      <w:r w:rsidRPr="008728F1">
        <w:rPr>
          <w:rFonts w:ascii="Arial" w:hAnsi="Arial" w:cs="Arial"/>
          <w:b/>
          <w:color w:val="CC9999" w:themeColor="accent2"/>
          <w:sz w:val="32"/>
        </w:rPr>
        <w:t xml:space="preserve"> VS House Prices</w:t>
      </w:r>
      <w:r>
        <w:rPr>
          <w:rFonts w:ascii="Arial" w:hAnsi="Arial" w:cs="Arial"/>
          <w:b/>
          <w:color w:val="CC9999" w:themeColor="accent2"/>
          <w:sz w:val="32"/>
        </w:rPr>
        <w:t>.</w:t>
      </w:r>
    </w:p>
    <w:p w:rsidR="008728F1" w:rsidRDefault="008728F1" w:rsidP="008728F1">
      <w:pPr>
        <w:spacing w:line="276" w:lineRule="auto"/>
      </w:pPr>
      <w:r w:rsidRPr="008728F1">
        <w:drawing>
          <wp:inline distT="0" distB="0" distL="0" distR="0" wp14:anchorId="6084216D" wp14:editId="3D620FA3">
            <wp:extent cx="3032125" cy="2398833"/>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32125" cy="2398833"/>
                    </a:xfrm>
                    <a:prstGeom prst="rect">
                      <a:avLst/>
                    </a:prstGeom>
                  </pic:spPr>
                </pic:pic>
              </a:graphicData>
            </a:graphic>
          </wp:inline>
        </w:drawing>
      </w:r>
    </w:p>
    <w:p w:rsidR="000F358A" w:rsidRPr="008728F1" w:rsidRDefault="008728F1" w:rsidP="008728F1">
      <w:pPr>
        <w:spacing w:line="276" w:lineRule="auto"/>
        <w:rPr>
          <w:rFonts w:ascii="Arial" w:hAnsi="Arial" w:cs="Arial"/>
        </w:rPr>
      </w:pPr>
      <w:r w:rsidRPr="008728F1">
        <w:rPr>
          <w:rFonts w:ascii="Arial" w:hAnsi="Arial" w:cs="Arial"/>
        </w:rPr>
        <w:t>Rising construction costs often exert significant influence on the pricing of new homes. When expenses for materials, labor, and regulatory compliance surge, builders tend to reflect these increased costs in the selling price of newly constructed houses. This escalation in construction expenses frequently translates into higher prices for new homes, impacting the affordability and overall pricing dynamics within the housing market. However, the direct impact of these rising construction costs on existing home prices can be more nuanced, as existing house prices are influenced by a myriad of factors beyond construction expenses, including market demand, supply, and economic conditions.</w:t>
      </w:r>
      <w:r w:rsidR="000F358A" w:rsidRPr="008728F1">
        <w:rPr>
          <w:rFonts w:ascii="Arial" w:hAnsi="Arial" w:cs="Arial"/>
        </w:rPr>
        <w:br w:type="page"/>
      </w:r>
    </w:p>
    <w:p w:rsidR="000F358A" w:rsidRDefault="008728F1" w:rsidP="000F358A">
      <w:pPr>
        <w:spacing w:line="276" w:lineRule="auto"/>
        <w:rPr>
          <w:rFonts w:ascii="Arial" w:hAnsi="Arial" w:cs="Arial"/>
          <w:b/>
          <w:color w:val="CC9999" w:themeColor="accent2"/>
          <w:sz w:val="32"/>
        </w:rPr>
      </w:pPr>
      <w:r w:rsidRPr="005F5AE4">
        <w:rPr>
          <w:noProof/>
          <w:lang w:val="en-IN" w:eastAsia="en-IN"/>
        </w:rPr>
        <w:lastRenderedPageBreak/>
        <mc:AlternateContent>
          <mc:Choice Requires="wps">
            <w:drawing>
              <wp:anchor distT="0" distB="0" distL="114300" distR="114300" simplePos="0" relativeHeight="251693568" behindDoc="0" locked="0" layoutInCell="1" allowOverlap="1" wp14:anchorId="39F670CB" wp14:editId="3E51EFAB">
                <wp:simplePos x="0" y="0"/>
                <wp:positionH relativeFrom="column">
                  <wp:posOffset>-481330</wp:posOffset>
                </wp:positionH>
                <wp:positionV relativeFrom="paragraph">
                  <wp:posOffset>-80645</wp:posOffset>
                </wp:positionV>
                <wp:extent cx="7644130"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78C1" w:rsidRPr="003A78C1" w:rsidRDefault="008728F1" w:rsidP="003A78C1">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lang w:val="en-IN"/>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9" o:spid="_x0000_s1031" style="position:absolute;margin-left:-37.9pt;margin-top:-6.35pt;width:601.9pt;height:43.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" fillcolor="#7d0615 [3204]" stroked="f" strokeweight="2pt">
                <v:textbox>
                  <w:txbxContent>
                    <w:p w:rsidR="003A78C1" w:rsidRPr="003A78C1" w:rsidRDefault="008728F1" w:rsidP="003A78C1">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lang w:val="en-IN"/>
                        </w:rPr>
                        <w:t>CONCLUSION.</w:t>
                      </w:r>
                    </w:p>
                  </w:txbxContent>
                </v:textbox>
              </v:rect>
            </w:pict>
          </mc:Fallback>
        </mc:AlternateContent>
      </w:r>
    </w:p>
    <w:p w:rsidR="000F358A" w:rsidRDefault="000F358A" w:rsidP="000F358A">
      <w:pPr>
        <w:spacing w:line="276" w:lineRule="auto"/>
        <w:rPr>
          <w:rFonts w:ascii="Arial" w:hAnsi="Arial" w:cs="Arial"/>
          <w:b/>
          <w:color w:val="CC9999" w:themeColor="accent2"/>
          <w:sz w:val="32"/>
        </w:rPr>
      </w:pPr>
    </w:p>
    <w:p w:rsidR="008728F1" w:rsidRDefault="008728F1" w:rsidP="008728F1">
      <w:pPr>
        <w:pStyle w:val="Heading2"/>
        <w:spacing w:before="153"/>
        <w:rPr>
          <w:rFonts w:ascii="inherit" w:hAnsi="inherit"/>
          <w:color w:val="000000"/>
          <w:sz w:val="33"/>
          <w:szCs w:val="33"/>
        </w:rPr>
        <w:sectPr w:rsidR="008728F1" w:rsidSect="00CE2804">
          <w:type w:val="continuous"/>
          <w:pgSz w:w="12240" w:h="15840" w:code="1"/>
          <w:pgMar w:top="630" w:right="990" w:bottom="1620" w:left="990" w:header="360" w:footer="371" w:gutter="0"/>
          <w:cols w:num="2" w:space="709"/>
          <w:docGrid w:linePitch="360"/>
        </w:sectPr>
      </w:pPr>
    </w:p>
    <w:p w:rsidR="008728F1" w:rsidRDefault="008728F1" w:rsidP="008728F1">
      <w:pPr>
        <w:pStyle w:val="Heading2"/>
        <w:spacing w:before="153"/>
        <w:rPr>
          <w:rFonts w:ascii="inherit" w:hAnsi="inherit"/>
          <w:color w:val="000000"/>
          <w:sz w:val="33"/>
          <w:szCs w:val="33"/>
        </w:rPr>
      </w:pPr>
    </w:p>
    <w:p w:rsidR="008728F1" w:rsidRDefault="008728F1" w:rsidP="008728F1">
      <w:pPr>
        <w:pStyle w:val="Heading2"/>
        <w:spacing w:before="153"/>
        <w:rPr>
          <w:rFonts w:ascii="inherit" w:hAnsi="inherit"/>
          <w:color w:val="000000"/>
          <w:sz w:val="33"/>
          <w:szCs w:val="33"/>
        </w:rPr>
      </w:pPr>
    </w:p>
    <w:p w:rsidR="008728F1" w:rsidRDefault="008728F1" w:rsidP="008728F1">
      <w:pPr>
        <w:pStyle w:val="Heading2"/>
        <w:spacing w:before="153"/>
        <w:rPr>
          <w:rFonts w:ascii="inherit" w:hAnsi="inherit"/>
          <w:color w:val="000000"/>
          <w:sz w:val="33"/>
          <w:szCs w:val="33"/>
        </w:rPr>
      </w:pPr>
      <w:r>
        <w:rPr>
          <w:rFonts w:ascii="inherit" w:hAnsi="inherit"/>
          <w:color w:val="000000"/>
          <w:sz w:val="33"/>
          <w:szCs w:val="33"/>
        </w:rPr>
        <w:t>Conclusion from the Project Analysis:</w:t>
      </w:r>
    </w:p>
    <w:p w:rsidR="008728F1" w:rsidRDefault="008728F1" w:rsidP="008728F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analysis reveals distinct correlations between key factors and housing prices in the US:</w:t>
      </w:r>
    </w:p>
    <w:p w:rsidR="008728F1" w:rsidRDefault="008728F1" w:rsidP="008728F1">
      <w:pPr>
        <w:pStyle w:val="NormalWeb"/>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Positive Correlations:</w:t>
      </w:r>
    </w:p>
    <w:p w:rsidR="008728F1" w:rsidRDefault="008728F1" w:rsidP="008728F1">
      <w:pPr>
        <w:numPr>
          <w:ilvl w:val="0"/>
          <w:numId w:val="7"/>
        </w:numPr>
        <w:spacing w:before="100" w:beforeAutospacing="1" w:after="100" w:afterAutospacing="1"/>
        <w:rPr>
          <w:rFonts w:ascii="Helvetica" w:hAnsi="Helvetica"/>
          <w:color w:val="000000"/>
          <w:sz w:val="21"/>
          <w:szCs w:val="21"/>
        </w:rPr>
      </w:pPr>
      <w:r>
        <w:rPr>
          <w:rStyle w:val="Strong"/>
          <w:rFonts w:ascii="Helvetica" w:hAnsi="Helvetica"/>
          <w:color w:val="000000"/>
          <w:sz w:val="21"/>
          <w:szCs w:val="21"/>
        </w:rPr>
        <w:t>Consumer Price Index (CPI), GDP, Construction Costs, and Population:</w:t>
      </w:r>
      <w:r>
        <w:rPr>
          <w:rFonts w:ascii="Helvetica" w:hAnsi="Helvetica"/>
          <w:color w:val="000000"/>
          <w:sz w:val="21"/>
          <w:szCs w:val="21"/>
        </w:rPr>
        <w:t> These factors exhibit positive correlations with housing prices. When CPI and GDP increase, housing prices tend to rise. Similarly, an increase in construction costs and population coincides with an upward trend in housing prices.</w:t>
      </w:r>
    </w:p>
    <w:p w:rsidR="008728F1" w:rsidRDefault="008728F1" w:rsidP="008728F1">
      <w:pPr>
        <w:pStyle w:val="NormalWeb"/>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Negative Correlations:</w:t>
      </w:r>
    </w:p>
    <w:p w:rsidR="008728F1" w:rsidRDefault="008728F1" w:rsidP="008728F1">
      <w:pPr>
        <w:numPr>
          <w:ilvl w:val="0"/>
          <w:numId w:val="8"/>
        </w:numPr>
        <w:spacing w:before="100" w:beforeAutospacing="1" w:after="100" w:afterAutospacing="1"/>
        <w:rPr>
          <w:rFonts w:ascii="Helvetica" w:hAnsi="Helvetica"/>
          <w:color w:val="000000"/>
          <w:sz w:val="21"/>
          <w:szCs w:val="21"/>
        </w:rPr>
      </w:pPr>
      <w:r>
        <w:rPr>
          <w:rStyle w:val="Strong"/>
          <w:rFonts w:ascii="Helvetica" w:hAnsi="Helvetica"/>
          <w:color w:val="000000"/>
          <w:sz w:val="21"/>
          <w:szCs w:val="21"/>
        </w:rPr>
        <w:t>Unemployment Rate, Vacant Houses, Mortgage Rates, and Consumer Sentiment:</w:t>
      </w:r>
      <w:r>
        <w:rPr>
          <w:rFonts w:ascii="Helvetica" w:hAnsi="Helvetica"/>
          <w:color w:val="000000"/>
          <w:sz w:val="21"/>
          <w:szCs w:val="21"/>
        </w:rPr>
        <w:t> These factors demonstrate negative correlations with housing prices. Higher unemployment, increased vacancy rates, elevated mortgage rates, and lower consumer sentiment correspond to decreased housing prices. Notably, during times of high unemployment, housing prices tend to decrease due to reduced demand.</w:t>
      </w:r>
    </w:p>
    <w:p w:rsidR="008728F1" w:rsidRDefault="008728F1" w:rsidP="008728F1">
      <w:pPr>
        <w:pStyle w:val="NormalWeb"/>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Recent Trends:</w:t>
      </w:r>
    </w:p>
    <w:p w:rsidR="008728F1" w:rsidRDefault="008728F1" w:rsidP="008728F1">
      <w:pPr>
        <w:numPr>
          <w:ilvl w:val="0"/>
          <w:numId w:val="9"/>
        </w:numPr>
        <w:spacing w:before="100" w:beforeAutospacing="1" w:after="100" w:afterAutospacing="1"/>
        <w:rPr>
          <w:rFonts w:ascii="Helvetica" w:hAnsi="Helvetica"/>
          <w:color w:val="000000"/>
          <w:sz w:val="21"/>
          <w:szCs w:val="21"/>
        </w:rPr>
      </w:pPr>
      <w:r>
        <w:rPr>
          <w:rFonts w:ascii="Helvetica" w:hAnsi="Helvetica"/>
          <w:color w:val="000000"/>
          <w:sz w:val="21"/>
          <w:szCs w:val="21"/>
        </w:rPr>
        <w:t>Despite recent low CPI trends, housing prices remain high, indicating a deviation from the typical CPI-house price relationship. Similarly, while mortgage rates are high, housing prices have remained elevated, diverging from the anticipated impact of high mortgage rates on purchasing behavior.</w:t>
      </w:r>
    </w:p>
    <w:p w:rsidR="008728F1" w:rsidRDefault="008728F1" w:rsidP="008728F1">
      <w:pPr>
        <w:numPr>
          <w:ilvl w:val="0"/>
          <w:numId w:val="9"/>
        </w:numPr>
        <w:spacing w:before="100" w:beforeAutospacing="1" w:after="100" w:afterAutospacing="1"/>
        <w:rPr>
          <w:rFonts w:ascii="Helvetica" w:hAnsi="Helvetica"/>
          <w:color w:val="000000"/>
          <w:sz w:val="21"/>
          <w:szCs w:val="21"/>
        </w:rPr>
      </w:pPr>
      <w:r>
        <w:rPr>
          <w:rFonts w:ascii="Helvetica" w:hAnsi="Helvetica"/>
          <w:color w:val="000000"/>
          <w:sz w:val="21"/>
          <w:szCs w:val="21"/>
        </w:rPr>
        <w:t>Decreasing vacant houses in recent times have contributed to higher housing prices. The reduced availability of new houses in the market has also elevated housing prices, contrary to the historical trend where an increased supply lowered prices.</w:t>
      </w:r>
    </w:p>
    <w:p w:rsidR="008728F1" w:rsidRDefault="008728F1" w:rsidP="008728F1">
      <w:pPr>
        <w:numPr>
          <w:ilvl w:val="0"/>
          <w:numId w:val="9"/>
        </w:numPr>
        <w:spacing w:before="100" w:beforeAutospacing="1" w:after="100" w:afterAutospacing="1"/>
        <w:rPr>
          <w:rFonts w:ascii="Helvetica" w:hAnsi="Helvetica"/>
          <w:color w:val="000000"/>
          <w:sz w:val="21"/>
          <w:szCs w:val="21"/>
        </w:rPr>
      </w:pPr>
      <w:r>
        <w:rPr>
          <w:rFonts w:ascii="Helvetica" w:hAnsi="Helvetica"/>
          <w:color w:val="000000"/>
          <w:sz w:val="21"/>
          <w:szCs w:val="21"/>
        </w:rPr>
        <w:t>Although traditionally, high consumer sentiment aligned with increased housing prices, recent market conditions have seen high prices persist even with lower consumer sentiment.</w:t>
      </w:r>
    </w:p>
    <w:p w:rsidR="008728F1" w:rsidRDefault="008728F1" w:rsidP="008728F1">
      <w:pPr>
        <w:pStyle w:val="NormalWeb"/>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Impact of Construction Costs:</w:t>
      </w:r>
    </w:p>
    <w:p w:rsidR="008728F1" w:rsidRDefault="008728F1" w:rsidP="008728F1">
      <w:pPr>
        <w:numPr>
          <w:ilvl w:val="0"/>
          <w:numId w:val="10"/>
        </w:numPr>
        <w:spacing w:before="100" w:beforeAutospacing="1" w:after="100" w:afterAutospacing="1"/>
        <w:rPr>
          <w:rFonts w:ascii="Helvetica" w:hAnsi="Helvetica"/>
          <w:color w:val="000000"/>
          <w:sz w:val="21"/>
          <w:szCs w:val="21"/>
        </w:rPr>
      </w:pPr>
      <w:r>
        <w:rPr>
          <w:rFonts w:ascii="Helvetica" w:hAnsi="Helvetica"/>
          <w:color w:val="000000"/>
          <w:sz w:val="21"/>
          <w:szCs w:val="21"/>
        </w:rPr>
        <w:t>The analysis emphasizes a significant positive impact of higher construction costs on housing prices. As construction costs rise, housing prices tend to follow suit.</w:t>
      </w:r>
    </w:p>
    <w:p w:rsidR="008728F1" w:rsidRDefault="008728F1" w:rsidP="008728F1">
      <w:pPr>
        <w:pStyle w:val="NormalWeb"/>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Population Dynamics:</w:t>
      </w:r>
    </w:p>
    <w:p w:rsidR="008728F1" w:rsidRDefault="008728F1" w:rsidP="008728F1">
      <w:pPr>
        <w:numPr>
          <w:ilvl w:val="0"/>
          <w:numId w:val="11"/>
        </w:numPr>
        <w:spacing w:before="100" w:beforeAutospacing="1" w:after="100" w:afterAutospacing="1"/>
        <w:rPr>
          <w:rFonts w:ascii="Helvetica" w:hAnsi="Helvetica"/>
          <w:color w:val="000000"/>
          <w:sz w:val="21"/>
          <w:szCs w:val="21"/>
        </w:rPr>
      </w:pPr>
      <w:r>
        <w:rPr>
          <w:rFonts w:ascii="Helvetica" w:hAnsi="Helvetica"/>
          <w:color w:val="000000"/>
          <w:sz w:val="21"/>
          <w:szCs w:val="21"/>
        </w:rPr>
        <w:t>While historically population dynamics did not exhibit a substantial effect, recent increases in population have contributed to a rise in housing prices.</w:t>
      </w:r>
    </w:p>
    <w:p w:rsidR="008728F1" w:rsidRDefault="008728F1" w:rsidP="008728F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The observed trends provide valuable insights into the intricate relationship between economic indicators, market sentiments, and their collective influence on housing prices. These findings underscore the nuanced dynamics shaping the housing market.</w:t>
      </w:r>
    </w:p>
    <w:p w:rsidR="008728F1" w:rsidRDefault="008728F1" w:rsidP="000F358A">
      <w:pPr>
        <w:spacing w:line="276" w:lineRule="auto"/>
        <w:rPr>
          <w:rFonts w:ascii="Arial" w:hAnsi="Arial" w:cs="Arial"/>
          <w:b/>
          <w:color w:val="CC9999" w:themeColor="accent2"/>
          <w:sz w:val="32"/>
        </w:rPr>
      </w:pPr>
    </w:p>
    <w:p w:rsidR="008728F1" w:rsidRDefault="008728F1" w:rsidP="000F358A">
      <w:pPr>
        <w:spacing w:line="276" w:lineRule="auto"/>
        <w:rPr>
          <w:rFonts w:ascii="Arial" w:hAnsi="Arial" w:cs="Arial"/>
          <w:b/>
          <w:color w:val="CC9999" w:themeColor="accent2"/>
          <w:sz w:val="32"/>
        </w:rPr>
        <w:sectPr w:rsidR="008728F1" w:rsidSect="008728F1">
          <w:type w:val="continuous"/>
          <w:pgSz w:w="12240" w:h="15840" w:code="1"/>
          <w:pgMar w:top="630" w:right="990" w:bottom="1620" w:left="990" w:header="360" w:footer="371" w:gutter="0"/>
          <w:cols w:space="709"/>
          <w:docGrid w:linePitch="360"/>
        </w:sectPr>
      </w:pPr>
    </w:p>
    <w:p w:rsidR="000F358A" w:rsidRDefault="000F358A" w:rsidP="000F358A">
      <w:pPr>
        <w:spacing w:line="276" w:lineRule="auto"/>
        <w:rPr>
          <w:rFonts w:ascii="Arial" w:hAnsi="Arial" w:cs="Arial"/>
          <w:b/>
          <w:color w:val="CC9999" w:themeColor="accent2"/>
          <w:sz w:val="32"/>
        </w:rPr>
      </w:pPr>
    </w:p>
    <w:p w:rsidR="000F358A" w:rsidRDefault="000F358A" w:rsidP="000F358A">
      <w:pPr>
        <w:spacing w:line="276" w:lineRule="auto"/>
        <w:rPr>
          <w:rFonts w:ascii="Arial" w:hAnsi="Arial" w:cs="Arial"/>
          <w:b/>
          <w:color w:val="CC9999" w:themeColor="accent2"/>
          <w:sz w:val="32"/>
        </w:rPr>
      </w:pPr>
    </w:p>
    <w:p w:rsidR="000F358A" w:rsidRDefault="000F358A" w:rsidP="000F358A">
      <w:pPr>
        <w:spacing w:line="276" w:lineRule="auto"/>
        <w:rPr>
          <w:rFonts w:ascii="Arial" w:hAnsi="Arial" w:cs="Arial"/>
          <w:b/>
          <w:color w:val="CC9999" w:themeColor="accent2"/>
          <w:sz w:val="32"/>
        </w:rPr>
      </w:pPr>
    </w:p>
    <w:p w:rsidR="000F358A" w:rsidRPr="000F358A" w:rsidRDefault="000F358A" w:rsidP="000F358A">
      <w:pPr>
        <w:spacing w:line="276" w:lineRule="auto"/>
        <w:rPr>
          <w:rFonts w:ascii="Arial" w:hAnsi="Arial" w:cs="Arial"/>
          <w:b/>
          <w:color w:val="CC9999" w:themeColor="accent2"/>
          <w:sz w:val="32"/>
        </w:rPr>
        <w:sectPr w:rsidR="000F358A" w:rsidRPr="000F358A" w:rsidSect="00CE2804">
          <w:type w:val="continuous"/>
          <w:pgSz w:w="12240" w:h="15840" w:code="1"/>
          <w:pgMar w:top="630" w:right="990" w:bottom="1620" w:left="990" w:header="360" w:footer="371" w:gutter="0"/>
          <w:cols w:num="2" w:space="709"/>
          <w:docGrid w:linePitch="360"/>
        </w:sectPr>
      </w:pPr>
    </w:p>
    <w:p w:rsidR="008728F1" w:rsidRPr="008728F1" w:rsidRDefault="00F2799C" w:rsidP="008728F1">
      <w:pPr>
        <w:tabs>
          <w:tab w:val="left" w:pos="10260"/>
        </w:tabs>
      </w:pPr>
      <w:r w:rsidRPr="005F5AE4">
        <w:rPr>
          <w:noProof/>
          <w:lang w:val="en-IN" w:eastAsia="en-IN"/>
        </w:rPr>
        <w:lastRenderedPageBreak/>
        <mc:AlternateContent>
          <mc:Choice Requires="wps">
            <w:drawing>
              <wp:anchor distT="0" distB="0" distL="114300" distR="114300" simplePos="0" relativeHeight="251706880" behindDoc="0" locked="0" layoutInCell="1" allowOverlap="1" wp14:anchorId="5152ECC0" wp14:editId="75516687">
                <wp:simplePos x="0" y="0"/>
                <wp:positionH relativeFrom="column">
                  <wp:posOffset>-516890</wp:posOffset>
                </wp:positionH>
                <wp:positionV relativeFrom="paragraph">
                  <wp:posOffset>-567055</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6F89" w:rsidRPr="008728F1" w:rsidRDefault="00386F89" w:rsidP="00386F89">
                            <w:pPr>
                              <w:pStyle w:val="ListParagraph"/>
                              <w:numPr>
                                <w:ilvl w:val="0"/>
                                <w:numId w:val="4"/>
                              </w:numPr>
                              <w:rPr>
                                <w:rFonts w:ascii="Arial" w:hAnsi="Arial" w:cs="Arial"/>
                                <w:b/>
                                <w:color w:val="FFFFFF" w:themeColor="background1"/>
                                <w:sz w:val="52"/>
                                <w:szCs w:val="52"/>
                              </w:rPr>
                            </w:pPr>
                            <w:r w:rsidRPr="008728F1">
                              <w:rPr>
                                <w:b/>
                                <w:sz w:val="52"/>
                                <w:szCs w:val="52"/>
                              </w:rPr>
                              <w:t xml:space="preserve"> </w:t>
                            </w:r>
                            <w:r w:rsidR="008728F1" w:rsidRPr="008728F1">
                              <w:rPr>
                                <w:b/>
                                <w:sz w:val="52"/>
                                <w:szCs w:val="52"/>
                              </w:rPr>
                              <w:t xml:space="preserve">REFFRENCE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1" o:spid="_x0000_s1032" style="position:absolute;margin-left:-40.7pt;margin-top:-44.65pt;width:601.9pt;height:4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" fillcolor="#7d0615 [3204]" stroked="f" strokeweight="2pt">
                <v:textbox>
                  <w:txbxContent>
                    <w:p w:rsidR="00386F89" w:rsidRPr="008728F1" w:rsidRDefault="00386F89" w:rsidP="00386F89">
                      <w:pPr>
                        <w:pStyle w:val="ListParagraph"/>
                        <w:numPr>
                          <w:ilvl w:val="0"/>
                          <w:numId w:val="4"/>
                        </w:numPr>
                        <w:rPr>
                          <w:rFonts w:ascii="Arial" w:hAnsi="Arial" w:cs="Arial"/>
                          <w:b/>
                          <w:color w:val="FFFFFF" w:themeColor="background1"/>
                          <w:sz w:val="52"/>
                          <w:szCs w:val="52"/>
                        </w:rPr>
                      </w:pPr>
                      <w:r w:rsidRPr="008728F1">
                        <w:rPr>
                          <w:b/>
                          <w:sz w:val="52"/>
                          <w:szCs w:val="52"/>
                        </w:rPr>
                        <w:t xml:space="preserve"> </w:t>
                      </w:r>
                      <w:r w:rsidR="008728F1" w:rsidRPr="008728F1">
                        <w:rPr>
                          <w:b/>
                          <w:sz w:val="52"/>
                          <w:szCs w:val="52"/>
                        </w:rPr>
                        <w:t xml:space="preserve">REFFRENCE </w:t>
                      </w:r>
                    </w:p>
                  </w:txbxContent>
                </v:textbox>
              </v:rect>
            </w:pict>
          </mc:Fallback>
        </mc:AlternateContent>
      </w:r>
      <w:r w:rsidR="000F358A">
        <w:t xml:space="preserve"> </w:t>
      </w:r>
    </w:p>
    <w:p w:rsidR="00F2799C" w:rsidRDefault="00F2799C" w:rsidP="008728F1">
      <w:pPr>
        <w:pStyle w:val="NormalWeb"/>
        <w:sectPr w:rsidR="00F2799C" w:rsidSect="000F358A">
          <w:type w:val="continuous"/>
          <w:pgSz w:w="12240" w:h="15840" w:code="1"/>
          <w:pgMar w:top="990" w:right="990" w:bottom="1620" w:left="990" w:header="360" w:footer="371" w:gutter="0"/>
          <w:cols w:num="2" w:space="709"/>
          <w:docGrid w:linePitch="360"/>
        </w:sectPr>
      </w:pPr>
    </w:p>
    <w:p w:rsidR="008728F1" w:rsidRDefault="008728F1" w:rsidP="008728F1">
      <w:pPr>
        <w:pStyle w:val="NormalWeb"/>
      </w:pPr>
      <w:r>
        <w:lastRenderedPageBreak/>
        <w:t>DATA LINK AND DISCRIPTION</w:t>
      </w:r>
    </w:p>
    <w:p w:rsidR="008728F1" w:rsidRDefault="008728F1" w:rsidP="008728F1">
      <w:pPr>
        <w:numPr>
          <w:ilvl w:val="0"/>
          <w:numId w:val="12"/>
        </w:numPr>
        <w:spacing w:before="100" w:beforeAutospacing="1" w:after="100" w:afterAutospacing="1"/>
      </w:pPr>
      <w:r>
        <w:t xml:space="preserve">Unemployment rate - </w:t>
      </w:r>
      <w:hyperlink r:id="rId20" w:history="1">
        <w:r>
          <w:rPr>
            <w:rStyle w:val="Hyperlink"/>
          </w:rPr>
          <w:t>https://fred.stlouisfed.org/series/UNRATE</w:t>
        </w:r>
      </w:hyperlink>
    </w:p>
    <w:p w:rsidR="008728F1" w:rsidRDefault="008728F1" w:rsidP="008728F1">
      <w:pPr>
        <w:pStyle w:val="NormalWeb"/>
      </w:pPr>
      <w:r>
        <w:t xml:space="preserve">The unemployment rate represents the number of unemployed as a percentage of the </w:t>
      </w:r>
      <w:proofErr w:type="spellStart"/>
      <w:r>
        <w:t>labor</w:t>
      </w:r>
      <w:proofErr w:type="spellEnd"/>
      <w:r>
        <w:t xml:space="preserve"> force. </w:t>
      </w:r>
      <w:proofErr w:type="spellStart"/>
      <w:r>
        <w:t>Labor</w:t>
      </w:r>
      <w:proofErr w:type="spellEnd"/>
      <w:r>
        <w:t xml:space="preserve"> force data are restricted to people 16 years of age and older, who currently reside in 1 of the 50 states or the District of Columbia, who do not reside in institutions (e.g., penal and mental facilities, homes for the aged), and who are not on active duty in the Armed Forces</w:t>
      </w:r>
    </w:p>
    <w:p w:rsidR="008728F1" w:rsidRDefault="008728F1" w:rsidP="008728F1">
      <w:pPr>
        <w:numPr>
          <w:ilvl w:val="0"/>
          <w:numId w:val="13"/>
        </w:numPr>
        <w:spacing w:before="100" w:beforeAutospacing="1" w:after="100" w:afterAutospacing="1"/>
      </w:pPr>
      <w:r>
        <w:rPr>
          <w:rStyle w:val="Strong"/>
        </w:rPr>
        <w:t>Fixed Rate Mortgage -</w:t>
      </w:r>
      <w:r>
        <w:t xml:space="preserve"> </w:t>
      </w:r>
      <w:hyperlink r:id="rId21" w:history="1">
        <w:r>
          <w:rPr>
            <w:rStyle w:val="Hyperlink"/>
          </w:rPr>
          <w:t>https://fred.stlouisfed.org/series/MORTGAGE30US</w:t>
        </w:r>
      </w:hyperlink>
    </w:p>
    <w:p w:rsidR="008728F1" w:rsidRDefault="008728F1" w:rsidP="008728F1">
      <w:pPr>
        <w:pStyle w:val="NormalWeb"/>
      </w:pPr>
      <w:r>
        <w:t xml:space="preserve">Freddie Mac, 30-Year Fixed Rate Mortgage Average in the United States [MORTGAGE30US], retrieved from FRED, Federal Reserve Bank of St. Louis; </w:t>
      </w:r>
      <w:hyperlink r:id="rId22" w:history="1">
        <w:r>
          <w:rPr>
            <w:rStyle w:val="Hyperlink"/>
          </w:rPr>
          <w:t>https://fred.stlouisfed.org/series/MORTGAGE30US</w:t>
        </w:r>
      </w:hyperlink>
      <w:r>
        <w:t>, December 9, 2023.</w:t>
      </w:r>
    </w:p>
    <w:p w:rsidR="008728F1" w:rsidRDefault="008728F1" w:rsidP="008728F1">
      <w:pPr>
        <w:numPr>
          <w:ilvl w:val="0"/>
          <w:numId w:val="14"/>
        </w:numPr>
        <w:spacing w:before="100" w:beforeAutospacing="1" w:after="100" w:afterAutospacing="1"/>
      </w:pPr>
      <w:r>
        <w:rPr>
          <w:rStyle w:val="Strong"/>
        </w:rPr>
        <w:t>S&amp;P/Case-</w:t>
      </w:r>
      <w:proofErr w:type="spellStart"/>
      <w:r>
        <w:rPr>
          <w:rStyle w:val="Strong"/>
        </w:rPr>
        <w:t>Shiller</w:t>
      </w:r>
      <w:proofErr w:type="spellEnd"/>
      <w:r>
        <w:rPr>
          <w:rStyle w:val="Strong"/>
        </w:rPr>
        <w:t xml:space="preserve"> U.S. National Home Price Index -</w:t>
      </w:r>
      <w:r>
        <w:t xml:space="preserve"> </w:t>
      </w:r>
      <w:hyperlink r:id="rId23" w:history="1">
        <w:r>
          <w:rPr>
            <w:rStyle w:val="Hyperlink"/>
          </w:rPr>
          <w:t>https://fred.stlouisfed.org/series/CSUSHPISA</w:t>
        </w:r>
      </w:hyperlink>
    </w:p>
    <w:p w:rsidR="008728F1" w:rsidRDefault="008728F1" w:rsidP="008728F1">
      <w:pPr>
        <w:pStyle w:val="NormalWeb"/>
      </w:pPr>
      <w:r>
        <w:t>S&amp;P Dow Jones Indices LLC, S&amp;P/Case-</w:t>
      </w:r>
      <w:proofErr w:type="spellStart"/>
      <w:r>
        <w:t>Shiller</w:t>
      </w:r>
      <w:proofErr w:type="spellEnd"/>
      <w:r>
        <w:t xml:space="preserve"> U.S. National Home Price Index [CSUSHPISA], retrieved from FRED, Federal Reserve Bank of St. Louis;</w:t>
      </w:r>
    </w:p>
    <w:p w:rsidR="008728F1" w:rsidRDefault="008728F1" w:rsidP="008728F1">
      <w:pPr>
        <w:numPr>
          <w:ilvl w:val="0"/>
          <w:numId w:val="15"/>
        </w:numPr>
        <w:spacing w:before="100" w:beforeAutospacing="1" w:after="100" w:afterAutospacing="1"/>
      </w:pPr>
      <w:r>
        <w:rPr>
          <w:rStyle w:val="Strong"/>
        </w:rPr>
        <w:t>Average Sales Price of Houses Sold for the United States -</w:t>
      </w:r>
      <w:r>
        <w:t xml:space="preserve"> </w:t>
      </w:r>
      <w:hyperlink r:id="rId24" w:history="1">
        <w:r>
          <w:rPr>
            <w:rStyle w:val="Hyperlink"/>
          </w:rPr>
          <w:t>https://fred.stlouisfed.org/series/ASPUS</w:t>
        </w:r>
      </w:hyperlink>
    </w:p>
    <w:p w:rsidR="00F2799C" w:rsidRDefault="008728F1" w:rsidP="008728F1">
      <w:pPr>
        <w:pStyle w:val="NormalWeb"/>
      </w:pPr>
      <w:r>
        <w:t xml:space="preserve">U.S. Census Bureau and U.S. Department of Housing and Urban Development, Average Sales Price of Houses Sold for the United States [ASPUS], retrieved from FRED, Federal Reserve Bank of St. Louis; </w:t>
      </w:r>
    </w:p>
    <w:p w:rsidR="008728F1" w:rsidRDefault="008728F1" w:rsidP="008728F1">
      <w:pPr>
        <w:pStyle w:val="NormalWeb"/>
      </w:pPr>
      <w:hyperlink r:id="rId25" w:history="1">
        <w:r>
          <w:rPr>
            <w:rStyle w:val="Hyperlink"/>
          </w:rPr>
          <w:t>https://fred.stlouisfed.org/series/ASPUS</w:t>
        </w:r>
      </w:hyperlink>
      <w:r>
        <w:t>, December 9, 2023.</w:t>
      </w:r>
    </w:p>
    <w:p w:rsidR="008728F1" w:rsidRDefault="008728F1" w:rsidP="008728F1">
      <w:pPr>
        <w:pStyle w:val="NormalWeb"/>
        <w:numPr>
          <w:ilvl w:val="0"/>
          <w:numId w:val="16"/>
        </w:numPr>
      </w:pPr>
      <w:r>
        <w:rPr>
          <w:rStyle w:val="Strong"/>
        </w:rPr>
        <w:t>Consumer Price Index: All Items: Total for United States (USACPALTT01CTGYM) -</w:t>
      </w:r>
      <w:r>
        <w:t xml:space="preserve"> </w:t>
      </w:r>
      <w:hyperlink r:id="rId26" w:history="1">
        <w:r>
          <w:rPr>
            <w:rStyle w:val="Hyperlink"/>
          </w:rPr>
          <w:t>https://fred.stlouisfed.org/series/USACPALTT01CTGYM</w:t>
        </w:r>
      </w:hyperlink>
    </w:p>
    <w:p w:rsidR="008728F1" w:rsidRDefault="008728F1" w:rsidP="008728F1">
      <w:pPr>
        <w:pStyle w:val="NormalWeb"/>
        <w:numPr>
          <w:ilvl w:val="0"/>
          <w:numId w:val="16"/>
        </w:numPr>
      </w:pPr>
      <w:r>
        <w:rPr>
          <w:rStyle w:val="Strong"/>
        </w:rPr>
        <w:t>Gross Domestic Product (GDP) -</w:t>
      </w:r>
      <w:r>
        <w:t xml:space="preserve"> </w:t>
      </w:r>
      <w:hyperlink r:id="rId27" w:history="1">
        <w:r>
          <w:rPr>
            <w:rStyle w:val="Hyperlink"/>
          </w:rPr>
          <w:t>https://fred.stlouisfed.org/series/GDP</w:t>
        </w:r>
      </w:hyperlink>
    </w:p>
    <w:p w:rsidR="008728F1" w:rsidRDefault="008728F1" w:rsidP="008728F1">
      <w:pPr>
        <w:pStyle w:val="NormalWeb"/>
        <w:numPr>
          <w:ilvl w:val="0"/>
          <w:numId w:val="16"/>
        </w:numPr>
      </w:pPr>
      <w:r>
        <w:rPr>
          <w:rStyle w:val="Strong"/>
        </w:rPr>
        <w:t>Monthly Supply of New Houses in the United States -</w:t>
      </w:r>
      <w:r>
        <w:t xml:space="preserve"> </w:t>
      </w:r>
      <w:hyperlink r:id="rId28" w:history="1">
        <w:r>
          <w:rPr>
            <w:rStyle w:val="Hyperlink"/>
          </w:rPr>
          <w:t>https://fred.stlouisfed.org/series/MSACSR</w:t>
        </w:r>
      </w:hyperlink>
    </w:p>
    <w:p w:rsidR="008728F1" w:rsidRDefault="008728F1" w:rsidP="008728F1">
      <w:pPr>
        <w:pStyle w:val="NormalWeb"/>
        <w:numPr>
          <w:ilvl w:val="0"/>
          <w:numId w:val="16"/>
        </w:numPr>
      </w:pPr>
      <w:r>
        <w:rPr>
          <w:rStyle w:val="Strong"/>
        </w:rPr>
        <w:t>Housing Inventory Estimate: Vacant Housing Units in the United States (EVACANTUSQ176N)-</w:t>
      </w:r>
      <w:hyperlink r:id="rId29" w:history="1">
        <w:r>
          <w:rPr>
            <w:rStyle w:val="Hyperlink"/>
          </w:rPr>
          <w:t>https://fred.stlouisfed.org/series/EVACANTUSQ176N</w:t>
        </w:r>
      </w:hyperlink>
    </w:p>
    <w:p w:rsidR="008728F1" w:rsidRDefault="008728F1" w:rsidP="008728F1">
      <w:pPr>
        <w:pStyle w:val="NormalWeb"/>
        <w:numPr>
          <w:ilvl w:val="0"/>
          <w:numId w:val="16"/>
        </w:numPr>
      </w:pPr>
      <w:r>
        <w:rPr>
          <w:rStyle w:val="Strong"/>
        </w:rPr>
        <w:t>New Privately-Owned Housing Units Authorized in Permit-Issuing Places: Total Units (PERMIT) -</w:t>
      </w:r>
      <w:r>
        <w:t xml:space="preserve"> </w:t>
      </w:r>
      <w:hyperlink r:id="rId30" w:history="1">
        <w:r>
          <w:rPr>
            <w:rStyle w:val="Hyperlink"/>
          </w:rPr>
          <w:t>https://fred.stlouisfed.org/series/PERMIT</w:t>
        </w:r>
      </w:hyperlink>
    </w:p>
    <w:p w:rsidR="008728F1" w:rsidRDefault="008728F1" w:rsidP="008728F1">
      <w:pPr>
        <w:pStyle w:val="NormalWeb"/>
        <w:numPr>
          <w:ilvl w:val="0"/>
          <w:numId w:val="16"/>
        </w:numPr>
      </w:pPr>
      <w:r>
        <w:rPr>
          <w:rStyle w:val="Strong"/>
        </w:rPr>
        <w:t>University of Michigan: Consumer Sentiment -</w:t>
      </w:r>
      <w:r>
        <w:t xml:space="preserve"> </w:t>
      </w:r>
      <w:hyperlink r:id="rId31" w:history="1">
        <w:r>
          <w:rPr>
            <w:rStyle w:val="Hyperlink"/>
          </w:rPr>
          <w:t>https://fred.stlouisfed.org/series/UMCSENT</w:t>
        </w:r>
      </w:hyperlink>
    </w:p>
    <w:p w:rsidR="008728F1" w:rsidRDefault="008728F1" w:rsidP="008728F1">
      <w:pPr>
        <w:pStyle w:val="NormalWeb"/>
        <w:numPr>
          <w:ilvl w:val="0"/>
          <w:numId w:val="16"/>
        </w:numPr>
      </w:pPr>
      <w:r>
        <w:rPr>
          <w:rStyle w:val="Strong"/>
        </w:rPr>
        <w:t>Median Sales Price of Houses Sold for the United States (MSPUS) -</w:t>
      </w:r>
      <w:r>
        <w:t xml:space="preserve"> </w:t>
      </w:r>
      <w:hyperlink r:id="rId32" w:history="1">
        <w:r>
          <w:rPr>
            <w:rStyle w:val="Hyperlink"/>
          </w:rPr>
          <w:t>https://fred.stlouisfed.org/series/MSPUS</w:t>
        </w:r>
      </w:hyperlink>
    </w:p>
    <w:p w:rsidR="008728F1" w:rsidRDefault="008728F1" w:rsidP="008728F1">
      <w:pPr>
        <w:pStyle w:val="NormalWeb"/>
        <w:numPr>
          <w:ilvl w:val="0"/>
          <w:numId w:val="16"/>
        </w:numPr>
      </w:pPr>
      <w:r>
        <w:rPr>
          <w:rStyle w:val="Strong"/>
        </w:rPr>
        <w:t>Real Median Household Income in the United States -</w:t>
      </w:r>
      <w:r>
        <w:t xml:space="preserve"> </w:t>
      </w:r>
      <w:hyperlink r:id="rId33" w:history="1">
        <w:r>
          <w:rPr>
            <w:rStyle w:val="Hyperlink"/>
          </w:rPr>
          <w:t>https://fred.stlouisfed.org/series/MEHOINUSA672N</w:t>
        </w:r>
      </w:hyperlink>
    </w:p>
    <w:p w:rsidR="008728F1" w:rsidRDefault="008728F1" w:rsidP="008728F1">
      <w:pPr>
        <w:pStyle w:val="NormalWeb"/>
        <w:numPr>
          <w:ilvl w:val="0"/>
          <w:numId w:val="16"/>
        </w:numPr>
      </w:pPr>
      <w:r>
        <w:rPr>
          <w:rStyle w:val="Strong"/>
        </w:rPr>
        <w:t>Total Construction Spending: Residential in the United States -</w:t>
      </w:r>
      <w:r>
        <w:t xml:space="preserve"> </w:t>
      </w:r>
      <w:hyperlink r:id="rId34" w:history="1">
        <w:r>
          <w:rPr>
            <w:rStyle w:val="Hyperlink"/>
          </w:rPr>
          <w:t>https://fred.stlouisfed.org/series/TLRESCONS</w:t>
        </w:r>
      </w:hyperlink>
    </w:p>
    <w:p w:rsidR="008728F1" w:rsidRDefault="008728F1" w:rsidP="008728F1">
      <w:pPr>
        <w:pStyle w:val="NormalWeb"/>
        <w:numPr>
          <w:ilvl w:val="0"/>
          <w:numId w:val="16"/>
        </w:numPr>
      </w:pPr>
      <w:r>
        <w:rPr>
          <w:rStyle w:val="Strong"/>
        </w:rPr>
        <w:t>Population (POPTHM) -</w:t>
      </w:r>
      <w:r>
        <w:t xml:space="preserve"> </w:t>
      </w:r>
      <w:hyperlink r:id="rId35" w:history="1">
        <w:r>
          <w:rPr>
            <w:rStyle w:val="Hyperlink"/>
          </w:rPr>
          <w:t>https://fred.stlouisfed.org/series/POPTHM</w:t>
        </w:r>
      </w:hyperlink>
    </w:p>
    <w:p w:rsidR="008728F1" w:rsidRDefault="008728F1" w:rsidP="008728F1">
      <w:pPr>
        <w:pStyle w:val="NormalWeb"/>
        <w:numPr>
          <w:ilvl w:val="0"/>
          <w:numId w:val="16"/>
        </w:numPr>
      </w:pPr>
      <w:r>
        <w:rPr>
          <w:rStyle w:val="Strong"/>
        </w:rPr>
        <w:lastRenderedPageBreak/>
        <w:t>15-Year Fixed Rate Mortgage Average in the United States-</w:t>
      </w:r>
      <w:r>
        <w:t xml:space="preserve"> </w:t>
      </w:r>
      <w:hyperlink r:id="rId36" w:history="1">
        <w:r>
          <w:rPr>
            <w:rStyle w:val="Hyperlink"/>
          </w:rPr>
          <w:t>https://fred.stlouisfed.org/series/MORTGAGE15US</w:t>
        </w:r>
      </w:hyperlink>
    </w:p>
    <w:p w:rsidR="008728F1" w:rsidRDefault="008728F1" w:rsidP="008728F1">
      <w:pPr>
        <w:pStyle w:val="NormalWeb"/>
        <w:numPr>
          <w:ilvl w:val="0"/>
          <w:numId w:val="16"/>
        </w:numPr>
      </w:pPr>
      <w:r>
        <w:rPr>
          <w:rStyle w:val="Strong"/>
        </w:rPr>
        <w:t>Housing Inventory Estimate: Total Housing Units in the United States (ETOTALUSQ176N)-</w:t>
      </w:r>
      <w:r>
        <w:t xml:space="preserve"> </w:t>
      </w:r>
      <w:hyperlink r:id="rId37" w:history="1">
        <w:r>
          <w:rPr>
            <w:rStyle w:val="Hyperlink"/>
          </w:rPr>
          <w:t>https://fred.stlouisfed.org/series/ETOTALUSQ176N</w:t>
        </w:r>
      </w:hyperlink>
    </w:p>
    <w:p w:rsidR="008728F1" w:rsidRDefault="008728F1" w:rsidP="008728F1">
      <w:pPr>
        <w:pStyle w:val="NormalWeb"/>
        <w:numPr>
          <w:ilvl w:val="0"/>
          <w:numId w:val="16"/>
        </w:numPr>
      </w:pPr>
      <w:r>
        <w:rPr>
          <w:rStyle w:val="Strong"/>
        </w:rPr>
        <w:t xml:space="preserve">Existing Home Sales: </w:t>
      </w:r>
      <w:proofErr w:type="spellStart"/>
      <w:r>
        <w:rPr>
          <w:rStyle w:val="Strong"/>
        </w:rPr>
        <w:t>Months</w:t>
      </w:r>
      <w:proofErr w:type="spellEnd"/>
      <w:r>
        <w:rPr>
          <w:rStyle w:val="Strong"/>
        </w:rPr>
        <w:t xml:space="preserve"> Supply (HOSSUPUSM673N)-</w:t>
      </w:r>
      <w:r>
        <w:t xml:space="preserve"> </w:t>
      </w:r>
      <w:hyperlink r:id="rId38" w:history="1">
        <w:r>
          <w:rPr>
            <w:rStyle w:val="Hyperlink"/>
          </w:rPr>
          <w:t>https://fred.stlouisfed.org/series/HOSSUPUSM673N</w:t>
        </w:r>
      </w:hyperlink>
    </w:p>
    <w:p w:rsidR="008728F1" w:rsidRDefault="008728F1" w:rsidP="008728F1">
      <w:pPr>
        <w:pStyle w:val="NormalWeb"/>
        <w:numPr>
          <w:ilvl w:val="0"/>
          <w:numId w:val="16"/>
        </w:numPr>
      </w:pPr>
      <w:r>
        <w:rPr>
          <w:rStyle w:val="Strong"/>
        </w:rPr>
        <w:t>Monthly Supply of New Houses in the United States (MSACSR) -</w:t>
      </w:r>
      <w:r>
        <w:t xml:space="preserve"> </w:t>
      </w:r>
      <w:hyperlink r:id="rId39" w:history="1">
        <w:r>
          <w:rPr>
            <w:rStyle w:val="Hyperlink"/>
          </w:rPr>
          <w:t>https://fred.stlouisfed.org/series/MSACSR</w:t>
        </w:r>
      </w:hyperlink>
    </w:p>
    <w:p w:rsidR="008728F1" w:rsidRDefault="008728F1" w:rsidP="008728F1">
      <w:pPr>
        <w:pStyle w:val="NormalWeb"/>
        <w:numPr>
          <w:ilvl w:val="0"/>
          <w:numId w:val="16"/>
        </w:numPr>
      </w:pPr>
      <w:r>
        <w:rPr>
          <w:rStyle w:val="Strong"/>
        </w:rPr>
        <w:t>Median Sales Price for New Houses Sold in the United States (MSPNHSUS)-</w:t>
      </w:r>
      <w:r>
        <w:t xml:space="preserve"> </w:t>
      </w:r>
      <w:hyperlink r:id="rId40" w:history="1">
        <w:r>
          <w:rPr>
            <w:rStyle w:val="Hyperlink"/>
          </w:rPr>
          <w:t>https://fred.stlouisfed.org/series/MSPNHSUS</w:t>
        </w:r>
      </w:hyperlink>
    </w:p>
    <w:p w:rsidR="008728F1" w:rsidRDefault="008728F1" w:rsidP="008728F1">
      <w:pPr>
        <w:pStyle w:val="NormalWeb"/>
        <w:numPr>
          <w:ilvl w:val="0"/>
          <w:numId w:val="16"/>
        </w:numPr>
      </w:pPr>
      <w:r>
        <w:rPr>
          <w:rStyle w:val="Strong"/>
        </w:rPr>
        <w:t>Median Sales Price of Existing Homes (HOSMEDUSM052N)-</w:t>
      </w:r>
      <w:r>
        <w:t xml:space="preserve"> </w:t>
      </w:r>
      <w:hyperlink r:id="rId41" w:history="1">
        <w:r>
          <w:rPr>
            <w:rStyle w:val="Hyperlink"/>
          </w:rPr>
          <w:t>https://fred.stlouisfed.org/series/HOSMEDUSM052N</w:t>
        </w:r>
      </w:hyperlink>
    </w:p>
    <w:p w:rsidR="008728F1" w:rsidRDefault="008728F1" w:rsidP="008728F1">
      <w:pPr>
        <w:pStyle w:val="NormalWeb"/>
        <w:numPr>
          <w:ilvl w:val="0"/>
          <w:numId w:val="16"/>
        </w:numPr>
      </w:pPr>
      <w:r>
        <w:rPr>
          <w:rStyle w:val="Strong"/>
        </w:rPr>
        <w:t>Sticky Price Consumer Price Index less Food and Energy (CORESTICKM159SFRBATL)-</w:t>
      </w:r>
      <w:r>
        <w:t xml:space="preserve"> </w:t>
      </w:r>
      <w:hyperlink r:id="rId42" w:history="1">
        <w:r>
          <w:rPr>
            <w:rStyle w:val="Hyperlink"/>
          </w:rPr>
          <w:t>https://fred.stlouisfed.org/series/CORESTICKM159SFRBATL</w:t>
        </w:r>
      </w:hyperlink>
    </w:p>
    <w:p w:rsidR="008728F1" w:rsidRDefault="008728F1" w:rsidP="008728F1">
      <w:pPr>
        <w:pStyle w:val="NormalWeb"/>
        <w:numPr>
          <w:ilvl w:val="0"/>
          <w:numId w:val="16"/>
        </w:numPr>
      </w:pPr>
      <w:r>
        <w:rPr>
          <w:rStyle w:val="Strong"/>
        </w:rPr>
        <w:t>New One Family Houses Sold: United States (HSN1F)-</w:t>
      </w:r>
      <w:r>
        <w:t xml:space="preserve"> </w:t>
      </w:r>
      <w:hyperlink r:id="rId43" w:history="1">
        <w:r>
          <w:rPr>
            <w:rStyle w:val="Hyperlink"/>
          </w:rPr>
          <w:t>https://fred.stlouisfed.org/series/HSN1F</w:t>
        </w:r>
      </w:hyperlink>
    </w:p>
    <w:p w:rsidR="008728F1" w:rsidRDefault="008728F1" w:rsidP="008728F1">
      <w:pPr>
        <w:pStyle w:val="NormalWeb"/>
        <w:numPr>
          <w:ilvl w:val="0"/>
          <w:numId w:val="16"/>
        </w:numPr>
      </w:pPr>
      <w:r>
        <w:rPr>
          <w:rStyle w:val="Strong"/>
        </w:rPr>
        <w:t>Homeownership Rate in the United States (RHORUSQ156N) -</w:t>
      </w:r>
      <w:r>
        <w:t xml:space="preserve"> </w:t>
      </w:r>
      <w:hyperlink r:id="rId44" w:history="1">
        <w:r>
          <w:rPr>
            <w:rStyle w:val="Hyperlink"/>
          </w:rPr>
          <w:t>https://fred.stlouisfed.org/series/RHORUSQ156N</w:t>
        </w:r>
      </w:hyperlink>
    </w:p>
    <w:p w:rsidR="008728F1" w:rsidRDefault="008728F1" w:rsidP="008728F1">
      <w:pPr>
        <w:pStyle w:val="NormalWeb"/>
        <w:numPr>
          <w:ilvl w:val="0"/>
          <w:numId w:val="16"/>
        </w:numPr>
      </w:pPr>
      <w:r>
        <w:rPr>
          <w:rStyle w:val="Strong"/>
        </w:rPr>
        <w:t>Housing Affordability Index (Fixed) (FIXHAI) -</w:t>
      </w:r>
      <w:r>
        <w:t xml:space="preserve"> </w:t>
      </w:r>
      <w:hyperlink r:id="rId45" w:history="1">
        <w:r>
          <w:rPr>
            <w:rStyle w:val="Hyperlink"/>
          </w:rPr>
          <w:t>https://fred.stlouisfed.org/series/FIXHA</w:t>
        </w:r>
      </w:hyperlink>
    </w:p>
    <w:p w:rsidR="003A78C1" w:rsidRPr="005F5AE4" w:rsidRDefault="003A78C1" w:rsidP="00B923B3">
      <w:pPr>
        <w:tabs>
          <w:tab w:val="left" w:pos="10260"/>
        </w:tabs>
        <w:ind w:firstLine="450"/>
        <w:jc w:val="both"/>
      </w:pPr>
    </w:p>
    <w:sectPr w:rsidR="003A78C1" w:rsidRPr="005F5AE4" w:rsidSect="00F2799C">
      <w:type w:val="continuous"/>
      <w:pgSz w:w="12240" w:h="15840" w:code="1"/>
      <w:pgMar w:top="990" w:right="990" w:bottom="1620" w:left="990" w:header="360" w:footer="371"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872" w:rsidRDefault="001F2872">
      <w:r>
        <w:separator/>
      </w:r>
    </w:p>
  </w:endnote>
  <w:endnote w:type="continuationSeparator" w:id="0">
    <w:p w:rsidR="001F2872" w:rsidRDefault="001F2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41F" w:rsidRPr="006D7D65" w:rsidRDefault="000C6CA1" w:rsidP="00B70876">
    <w:pPr>
      <w:pStyle w:val="Footer"/>
      <w:tabs>
        <w:tab w:val="clear" w:pos="4677"/>
        <w:tab w:val="center" w:pos="2160"/>
      </w:tabs>
      <w:jc w:val="right"/>
      <w:rPr>
        <w:rFonts w:ascii="Arial" w:hAnsi="Arial" w:cs="Arial"/>
        <w:noProof/>
      </w:rPr>
    </w:pPr>
    <w:r>
      <w:rPr>
        <w:noProof/>
        <w:lang w:val="en-IN" w:eastAsia="en-IN"/>
      </w:rPr>
      <mc:AlternateContent>
        <mc:Choice Requires="wps">
          <w:drawing>
            <wp:anchor distT="0" distB="0" distL="114300" distR="114300" simplePos="0" relativeHeight="251663360" behindDoc="0" locked="0" layoutInCell="1" allowOverlap="1" wp14:anchorId="4EDEB93D" wp14:editId="51754475">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0398" w:rsidRDefault="001E0398" w:rsidP="001E0398">
                          <w:pPr>
                            <w:jc w:val="center"/>
                            <w:rPr>
                              <w:rFonts w:ascii="Arial" w:hAnsi="Arial" w:cs="Arial"/>
                              <w:color w:val="336666" w:themeColor="accent3"/>
                              <w:sz w:val="18"/>
                              <w:szCs w:val="38"/>
                              <w:lang w:val="en-IN"/>
                            </w:rPr>
                          </w:pPr>
                        </w:p>
                        <w:p w:rsidR="005D31AA" w:rsidRPr="005D31AA" w:rsidRDefault="005D31AA" w:rsidP="001E0398">
                          <w:pPr>
                            <w:jc w:val="center"/>
                            <w:rPr>
                              <w:rFonts w:ascii="Arial" w:hAnsi="Arial" w:cs="Arial"/>
                              <w:color w:val="336666" w:themeColor="accent3"/>
                              <w:sz w:val="18"/>
                              <w:szCs w:val="38"/>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33.3pt;margin-top:-.25pt;width:103pt;height:4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rsidR="001E0398" w:rsidRDefault="001E0398" w:rsidP="001E0398">
                    <w:pPr>
                      <w:jc w:val="center"/>
                      <w:rPr>
                        <w:rFonts w:ascii="Arial" w:hAnsi="Arial" w:cs="Arial"/>
                        <w:color w:val="336666" w:themeColor="accent3"/>
                        <w:sz w:val="18"/>
                        <w:szCs w:val="38"/>
                        <w:lang w:val="en-IN"/>
                      </w:rPr>
                    </w:pPr>
                  </w:p>
                  <w:p w:rsidR="005D31AA" w:rsidRPr="005D31AA" w:rsidRDefault="005D31AA" w:rsidP="001E0398">
                    <w:pPr>
                      <w:jc w:val="center"/>
                      <w:rPr>
                        <w:rFonts w:ascii="Arial" w:hAnsi="Arial" w:cs="Arial"/>
                        <w:color w:val="336666" w:themeColor="accent3"/>
                        <w:sz w:val="18"/>
                        <w:szCs w:val="38"/>
                        <w:lang w:val="en-IN"/>
                      </w:rPr>
                    </w:pPr>
                  </w:p>
                </w:txbxContent>
              </v:textbox>
            </v:shape>
          </w:pict>
        </mc:Fallback>
      </mc:AlternateContent>
    </w:r>
    <w:r w:rsidR="00B70876">
      <w:rPr>
        <w:noProof/>
        <w:lang w:val="en-IN" w:eastAsia="en-IN"/>
      </w:rPr>
      <mc:AlternateContent>
        <mc:Choice Requires="wps">
          <w:drawing>
            <wp:anchor distT="0" distB="0" distL="114300" distR="114300" simplePos="0" relativeHeight="251661312" behindDoc="0" locked="0" layoutInCell="1" allowOverlap="1" wp14:anchorId="1AD01A8B" wp14:editId="3C96F866">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0398" w:rsidRPr="006D7D65" w:rsidRDefault="005D31AA" w:rsidP="001E0398">
                          <w:pPr>
                            <w:pStyle w:val="Footer"/>
                            <w:tabs>
                              <w:tab w:val="clear" w:pos="4677"/>
                              <w:tab w:val="center" w:pos="2160"/>
                            </w:tabs>
                            <w:ind w:right="540"/>
                            <w:rPr>
                              <w:rFonts w:ascii="Arial" w:hAnsi="Arial" w:cs="Arial"/>
                            </w:rPr>
                          </w:pPr>
                          <w:r>
                            <w:rPr>
                              <w:rFonts w:ascii="Arial" w:hAnsi="Arial" w:cs="Arial"/>
                              <w:color w:val="000000"/>
                            </w:rPr>
                            <w:t xml:space="preserve"> </w:t>
                          </w:r>
                        </w:p>
                        <w:p w:rsidR="001E0398" w:rsidRPr="001E0398" w:rsidRDefault="001E0398" w:rsidP="001E0398">
                          <w:pPr>
                            <w:rPr>
                              <w:rFonts w:ascii="Arial" w:hAnsi="Arial" w:cs="Arial"/>
                              <w:color w:val="33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68.7pt;margin-top:9.45pt;width:410.85pt;height:3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rsidR="001E0398" w:rsidRPr="006D7D65" w:rsidRDefault="005D31AA" w:rsidP="001E0398">
                    <w:pPr>
                      <w:pStyle w:val="Footer"/>
                      <w:tabs>
                        <w:tab w:val="clear" w:pos="4677"/>
                        <w:tab w:val="center" w:pos="2160"/>
                      </w:tabs>
                      <w:ind w:right="540"/>
                      <w:rPr>
                        <w:rFonts w:ascii="Arial" w:hAnsi="Arial" w:cs="Arial"/>
                      </w:rPr>
                    </w:pPr>
                    <w:r>
                      <w:rPr>
                        <w:rFonts w:ascii="Arial" w:hAnsi="Arial" w:cs="Arial"/>
                        <w:color w:val="000000"/>
                      </w:rPr>
                      <w:t xml:space="preserve"> </w:t>
                    </w:r>
                  </w:p>
                  <w:p w:rsidR="001E0398" w:rsidRPr="001E0398" w:rsidRDefault="001E0398" w:rsidP="001E0398">
                    <w:pPr>
                      <w:rPr>
                        <w:rFonts w:ascii="Arial" w:hAnsi="Arial" w:cs="Arial"/>
                        <w:color w:val="336666" w:themeColor="accent3"/>
                        <w:sz w:val="18"/>
                        <w:szCs w:val="38"/>
                      </w:rPr>
                    </w:pPr>
                  </w:p>
                </w:txbxContent>
              </v:textbox>
            </v:shape>
          </w:pict>
        </mc:Fallback>
      </mc:AlternateContent>
    </w:r>
    <w:r w:rsidR="00B70876">
      <w:rPr>
        <w:rFonts w:ascii="Arial" w:hAnsi="Arial" w:cs="Arial"/>
        <w:noProof/>
        <w:lang w:val="en-IN" w:eastAsia="en-IN"/>
      </w:rPr>
      <mc:AlternateContent>
        <mc:Choice Requires="wps">
          <w:drawing>
            <wp:anchor distT="0" distB="0" distL="114300" distR="114300" simplePos="0" relativeHeight="251659264" behindDoc="0" locked="0" layoutInCell="1" allowOverlap="1" wp14:anchorId="06C439D9" wp14:editId="30EBF6AD">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1.3pt;margin-top:-18.8pt;width:556.1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4f81bd [3204]" stroked="f" strokeweight="2pt"/>
          </w:pict>
        </mc:Fallback>
      </mc:AlternateContent>
    </w:r>
    <w:r w:rsidR="00664743" w:rsidRPr="006D7D65">
      <w:rPr>
        <w:rFonts w:ascii="Arial" w:hAnsi="Arial" w:cs="Arial"/>
        <w:noProof/>
      </w:rPr>
      <w:t xml:space="preserve"> </w:t>
    </w:r>
    <w:r w:rsidR="00664743" w:rsidRPr="006D7D65">
      <w:rPr>
        <w:rFonts w:ascii="Arial" w:hAnsi="Arial" w:cs="Arial"/>
        <w:noProof/>
      </w:rPr>
      <w:fldChar w:fldCharType="begin"/>
    </w:r>
    <w:r w:rsidR="00664743" w:rsidRPr="006D7D65">
      <w:rPr>
        <w:rFonts w:ascii="Arial" w:hAnsi="Arial" w:cs="Arial"/>
        <w:noProof/>
      </w:rPr>
      <w:instrText xml:space="preserve"> PAGE </w:instrText>
    </w:r>
    <w:r w:rsidR="00664743" w:rsidRPr="006D7D65">
      <w:rPr>
        <w:rFonts w:ascii="Arial" w:hAnsi="Arial" w:cs="Arial"/>
        <w:noProof/>
      </w:rPr>
      <w:fldChar w:fldCharType="separate"/>
    </w:r>
    <w:r w:rsidR="00340A3A">
      <w:rPr>
        <w:rFonts w:ascii="Arial" w:hAnsi="Arial" w:cs="Arial"/>
        <w:noProof/>
      </w:rPr>
      <w:t>1</w:t>
    </w:r>
    <w:r w:rsidR="00664743" w:rsidRPr="006D7D65">
      <w:rPr>
        <w:rFonts w:ascii="Arial" w:hAnsi="Arial" w:cs="Arial"/>
        <w:noProof/>
      </w:rPr>
      <w:fldChar w:fldCharType="end"/>
    </w:r>
    <w:r w:rsidR="00664743" w:rsidRPr="006D7D65">
      <w:rPr>
        <w:rFonts w:ascii="Arial" w:hAnsi="Arial" w:cs="Arial"/>
        <w:noProof/>
      </w:rPr>
      <w:t xml:space="preserve"> </w:t>
    </w:r>
  </w:p>
  <w:p w:rsidR="002D2E2F" w:rsidRPr="006D7D65" w:rsidRDefault="002D2E2F" w:rsidP="002D2E2F">
    <w:pPr>
      <w:pStyle w:val="Footer"/>
      <w:tabs>
        <w:tab w:val="clear" w:pos="4677"/>
        <w:tab w:val="center" w:pos="2160"/>
      </w:tabs>
      <w:ind w:left="540" w:right="540"/>
      <w:rPr>
        <w:rFonts w:ascii="Arial" w:hAnsi="Arial" w:cs="Arial"/>
      </w:rPr>
    </w:pPr>
  </w:p>
  <w:p w:rsidR="00F635DA" w:rsidRDefault="00F635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872" w:rsidRDefault="001F2872">
      <w:r>
        <w:separator/>
      </w:r>
    </w:p>
  </w:footnote>
  <w:footnote w:type="continuationSeparator" w:id="0">
    <w:p w:rsidR="001F2872" w:rsidRDefault="001F2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nsid w:val="04AE4085"/>
    <w:multiLevelType w:val="multilevel"/>
    <w:tmpl w:val="FBF6D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54F8E"/>
    <w:multiLevelType w:val="multilevel"/>
    <w:tmpl w:val="43D83D14"/>
    <w:lvl w:ilvl="0">
      <w:start w:val="1"/>
      <w:numFmt w:val="decimal"/>
      <w:lvlText w:val="%1."/>
      <w:lvlJc w:val="left"/>
      <w:pPr>
        <w:ind w:left="360" w:hanging="360"/>
      </w:pPr>
    </w:lvl>
    <w:lvl w:ilvl="1">
      <w:start w:val="1"/>
      <w:numFmt w:val="decimal"/>
      <w:lvlText w:val="%1.%2."/>
      <w:lvlJc w:val="left"/>
      <w:pPr>
        <w:ind w:left="4119" w:hanging="432"/>
      </w:pPr>
      <w:rPr>
        <w:color w:val="CC9999"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2C7489"/>
    <w:multiLevelType w:val="multilevel"/>
    <w:tmpl w:val="06B2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0F7A0B"/>
    <w:multiLevelType w:val="hybridMultilevel"/>
    <w:tmpl w:val="49D85FD0"/>
    <w:lvl w:ilvl="0" w:tplc="265AA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1B3"/>
    <w:multiLevelType w:val="multilevel"/>
    <w:tmpl w:val="306E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2869A6"/>
    <w:multiLevelType w:val="multilevel"/>
    <w:tmpl w:val="8DC8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1C5064"/>
    <w:multiLevelType w:val="hybridMultilevel"/>
    <w:tmpl w:val="DCBA7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07E3C"/>
    <w:multiLevelType w:val="multilevel"/>
    <w:tmpl w:val="1506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8F5E1E"/>
    <w:multiLevelType w:val="hybridMultilevel"/>
    <w:tmpl w:val="BD32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865C06"/>
    <w:multiLevelType w:val="multilevel"/>
    <w:tmpl w:val="3C3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CA4AAC"/>
    <w:multiLevelType w:val="hybridMultilevel"/>
    <w:tmpl w:val="DD2C9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857A20"/>
    <w:multiLevelType w:val="multilevel"/>
    <w:tmpl w:val="DFCA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702AF2"/>
    <w:multiLevelType w:val="multilevel"/>
    <w:tmpl w:val="8EAC0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40665B"/>
    <w:multiLevelType w:val="multilevel"/>
    <w:tmpl w:val="02FAAF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445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1277B7"/>
    <w:multiLevelType w:val="multilevel"/>
    <w:tmpl w:val="11A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D20CCD"/>
    <w:multiLevelType w:val="multilevel"/>
    <w:tmpl w:val="92B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77326E"/>
    <w:multiLevelType w:val="multilevel"/>
    <w:tmpl w:val="DFB82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5"/>
  </w:num>
  <w:num w:numId="4">
    <w:abstractNumId w:val="4"/>
  </w:num>
  <w:num w:numId="5">
    <w:abstractNumId w:val="9"/>
  </w:num>
  <w:num w:numId="6">
    <w:abstractNumId w:val="2"/>
  </w:num>
  <w:num w:numId="7">
    <w:abstractNumId w:val="17"/>
  </w:num>
  <w:num w:numId="8">
    <w:abstractNumId w:val="5"/>
  </w:num>
  <w:num w:numId="9">
    <w:abstractNumId w:val="10"/>
  </w:num>
  <w:num w:numId="10">
    <w:abstractNumId w:val="16"/>
  </w:num>
  <w:num w:numId="11">
    <w:abstractNumId w:val="3"/>
  </w:num>
  <w:num w:numId="12">
    <w:abstractNumId w:val="6"/>
  </w:num>
  <w:num w:numId="13">
    <w:abstractNumId w:val="18"/>
  </w:num>
  <w:num w:numId="14">
    <w:abstractNumId w:val="13"/>
  </w:num>
  <w:num w:numId="15">
    <w:abstractNumId w:val="14"/>
  </w:num>
  <w:num w:numId="16">
    <w:abstractNumId w:val="1"/>
  </w:num>
  <w:num w:numId="17">
    <w:abstractNumId w:val="11"/>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A03"/>
    <w:rsid w:val="00000E96"/>
    <w:rsid w:val="000058F1"/>
    <w:rsid w:val="00025F25"/>
    <w:rsid w:val="0005275C"/>
    <w:rsid w:val="000571FA"/>
    <w:rsid w:val="000700BE"/>
    <w:rsid w:val="00086D56"/>
    <w:rsid w:val="00092409"/>
    <w:rsid w:val="000963EE"/>
    <w:rsid w:val="00096BDA"/>
    <w:rsid w:val="00097CA5"/>
    <w:rsid w:val="000A0B9C"/>
    <w:rsid w:val="000C6CA1"/>
    <w:rsid w:val="000C7B39"/>
    <w:rsid w:val="000F358A"/>
    <w:rsid w:val="0010514A"/>
    <w:rsid w:val="00112B87"/>
    <w:rsid w:val="00113A6F"/>
    <w:rsid w:val="001351ED"/>
    <w:rsid w:val="00170756"/>
    <w:rsid w:val="00183A64"/>
    <w:rsid w:val="001955E9"/>
    <w:rsid w:val="001A17BC"/>
    <w:rsid w:val="001C2B99"/>
    <w:rsid w:val="001C3E2F"/>
    <w:rsid w:val="001D4728"/>
    <w:rsid w:val="001E0398"/>
    <w:rsid w:val="001E2F23"/>
    <w:rsid w:val="001F230C"/>
    <w:rsid w:val="001F2872"/>
    <w:rsid w:val="002208D0"/>
    <w:rsid w:val="00220A22"/>
    <w:rsid w:val="002238EA"/>
    <w:rsid w:val="00251B35"/>
    <w:rsid w:val="00251FCD"/>
    <w:rsid w:val="00253233"/>
    <w:rsid w:val="00261796"/>
    <w:rsid w:val="00277ADB"/>
    <w:rsid w:val="002824AE"/>
    <w:rsid w:val="00284CD0"/>
    <w:rsid w:val="00290938"/>
    <w:rsid w:val="002B4007"/>
    <w:rsid w:val="002C7FAA"/>
    <w:rsid w:val="002D2E2F"/>
    <w:rsid w:val="00321111"/>
    <w:rsid w:val="00340A3A"/>
    <w:rsid w:val="0038057F"/>
    <w:rsid w:val="00386F89"/>
    <w:rsid w:val="00395555"/>
    <w:rsid w:val="003A78C1"/>
    <w:rsid w:val="003A7A03"/>
    <w:rsid w:val="003B06ED"/>
    <w:rsid w:val="003E46D9"/>
    <w:rsid w:val="003F320B"/>
    <w:rsid w:val="004060E8"/>
    <w:rsid w:val="00416318"/>
    <w:rsid w:val="00417ED0"/>
    <w:rsid w:val="004413B9"/>
    <w:rsid w:val="004478A2"/>
    <w:rsid w:val="004556E3"/>
    <w:rsid w:val="004569BD"/>
    <w:rsid w:val="00456B8A"/>
    <w:rsid w:val="00486629"/>
    <w:rsid w:val="00490C12"/>
    <w:rsid w:val="00497BED"/>
    <w:rsid w:val="004A61C2"/>
    <w:rsid w:val="004A73BF"/>
    <w:rsid w:val="004B5F1D"/>
    <w:rsid w:val="004D6D17"/>
    <w:rsid w:val="004E18FD"/>
    <w:rsid w:val="004F35D5"/>
    <w:rsid w:val="004F6FD5"/>
    <w:rsid w:val="005245F8"/>
    <w:rsid w:val="005372FC"/>
    <w:rsid w:val="005521D8"/>
    <w:rsid w:val="0056063E"/>
    <w:rsid w:val="005659D2"/>
    <w:rsid w:val="00580A29"/>
    <w:rsid w:val="00592170"/>
    <w:rsid w:val="005B397D"/>
    <w:rsid w:val="005D31AA"/>
    <w:rsid w:val="005D4644"/>
    <w:rsid w:val="005D5995"/>
    <w:rsid w:val="005E3BF5"/>
    <w:rsid w:val="005F5AE4"/>
    <w:rsid w:val="006001D2"/>
    <w:rsid w:val="00612F56"/>
    <w:rsid w:val="00613870"/>
    <w:rsid w:val="00613D04"/>
    <w:rsid w:val="00620AD1"/>
    <w:rsid w:val="006226CE"/>
    <w:rsid w:val="00622FDF"/>
    <w:rsid w:val="006526C7"/>
    <w:rsid w:val="00652C74"/>
    <w:rsid w:val="0065314E"/>
    <w:rsid w:val="00664743"/>
    <w:rsid w:val="0066658E"/>
    <w:rsid w:val="006877B6"/>
    <w:rsid w:val="006B053E"/>
    <w:rsid w:val="006C7324"/>
    <w:rsid w:val="006D1AD3"/>
    <w:rsid w:val="006D3317"/>
    <w:rsid w:val="006D7D65"/>
    <w:rsid w:val="0071799F"/>
    <w:rsid w:val="00734513"/>
    <w:rsid w:val="00751400"/>
    <w:rsid w:val="00771302"/>
    <w:rsid w:val="00785EF6"/>
    <w:rsid w:val="00786C53"/>
    <w:rsid w:val="007A1ED6"/>
    <w:rsid w:val="007B53B8"/>
    <w:rsid w:val="007B7D0C"/>
    <w:rsid w:val="007C61A8"/>
    <w:rsid w:val="007D5AC1"/>
    <w:rsid w:val="007D69E5"/>
    <w:rsid w:val="00815DCC"/>
    <w:rsid w:val="00827355"/>
    <w:rsid w:val="00832378"/>
    <w:rsid w:val="00850708"/>
    <w:rsid w:val="00861F16"/>
    <w:rsid w:val="008728F1"/>
    <w:rsid w:val="008946D5"/>
    <w:rsid w:val="008A29F7"/>
    <w:rsid w:val="008D5AE9"/>
    <w:rsid w:val="008E48B8"/>
    <w:rsid w:val="008F3B12"/>
    <w:rsid w:val="009065E7"/>
    <w:rsid w:val="00911927"/>
    <w:rsid w:val="00916CC1"/>
    <w:rsid w:val="009468C6"/>
    <w:rsid w:val="00951419"/>
    <w:rsid w:val="00957114"/>
    <w:rsid w:val="00971CA2"/>
    <w:rsid w:val="0097289A"/>
    <w:rsid w:val="00983AE3"/>
    <w:rsid w:val="009A0EA9"/>
    <w:rsid w:val="009D3274"/>
    <w:rsid w:val="009F1CD1"/>
    <w:rsid w:val="009F2DC1"/>
    <w:rsid w:val="00A057F1"/>
    <w:rsid w:val="00A123C9"/>
    <w:rsid w:val="00A31738"/>
    <w:rsid w:val="00A37E8F"/>
    <w:rsid w:val="00A61293"/>
    <w:rsid w:val="00A700D4"/>
    <w:rsid w:val="00A80198"/>
    <w:rsid w:val="00A826FE"/>
    <w:rsid w:val="00A87BD2"/>
    <w:rsid w:val="00A87CEC"/>
    <w:rsid w:val="00A92C90"/>
    <w:rsid w:val="00A93039"/>
    <w:rsid w:val="00AF3BBF"/>
    <w:rsid w:val="00B11C41"/>
    <w:rsid w:val="00B17236"/>
    <w:rsid w:val="00B20B3E"/>
    <w:rsid w:val="00B24CA3"/>
    <w:rsid w:val="00B267F5"/>
    <w:rsid w:val="00B3059B"/>
    <w:rsid w:val="00B30707"/>
    <w:rsid w:val="00B30918"/>
    <w:rsid w:val="00B4127A"/>
    <w:rsid w:val="00B62F80"/>
    <w:rsid w:val="00B70876"/>
    <w:rsid w:val="00B73862"/>
    <w:rsid w:val="00B923B3"/>
    <w:rsid w:val="00B9764F"/>
    <w:rsid w:val="00BA018F"/>
    <w:rsid w:val="00BB7100"/>
    <w:rsid w:val="00BD6627"/>
    <w:rsid w:val="00BE34C5"/>
    <w:rsid w:val="00C25407"/>
    <w:rsid w:val="00C3734D"/>
    <w:rsid w:val="00C751CB"/>
    <w:rsid w:val="00C875D7"/>
    <w:rsid w:val="00C91E9E"/>
    <w:rsid w:val="00CA7B07"/>
    <w:rsid w:val="00CB0577"/>
    <w:rsid w:val="00CB5F47"/>
    <w:rsid w:val="00CD15E6"/>
    <w:rsid w:val="00CE2804"/>
    <w:rsid w:val="00CF32F1"/>
    <w:rsid w:val="00CF6B3F"/>
    <w:rsid w:val="00D278F8"/>
    <w:rsid w:val="00D3445C"/>
    <w:rsid w:val="00D348B0"/>
    <w:rsid w:val="00D51A5C"/>
    <w:rsid w:val="00D72677"/>
    <w:rsid w:val="00D743D1"/>
    <w:rsid w:val="00D83470"/>
    <w:rsid w:val="00DA082D"/>
    <w:rsid w:val="00DB4667"/>
    <w:rsid w:val="00DC216E"/>
    <w:rsid w:val="00DD04C0"/>
    <w:rsid w:val="00DD6337"/>
    <w:rsid w:val="00DE1645"/>
    <w:rsid w:val="00E053FE"/>
    <w:rsid w:val="00E05802"/>
    <w:rsid w:val="00E06F59"/>
    <w:rsid w:val="00E228D6"/>
    <w:rsid w:val="00E41C09"/>
    <w:rsid w:val="00E50A29"/>
    <w:rsid w:val="00E55666"/>
    <w:rsid w:val="00E9456D"/>
    <w:rsid w:val="00E9764D"/>
    <w:rsid w:val="00EA64E4"/>
    <w:rsid w:val="00EB51BE"/>
    <w:rsid w:val="00ED3AF2"/>
    <w:rsid w:val="00EE6C78"/>
    <w:rsid w:val="00F0441F"/>
    <w:rsid w:val="00F2799C"/>
    <w:rsid w:val="00F33635"/>
    <w:rsid w:val="00F360ED"/>
    <w:rsid w:val="00F406CE"/>
    <w:rsid w:val="00F56394"/>
    <w:rsid w:val="00F635DA"/>
    <w:rsid w:val="00F9296A"/>
    <w:rsid w:val="00FA42E4"/>
    <w:rsid w:val="00FB40E4"/>
    <w:rsid w:val="00FB435D"/>
    <w:rsid w:val="00FC6C37"/>
    <w:rsid w:val="00FD5515"/>
    <w:rsid w:val="00FD7487"/>
    <w:rsid w:val="00FE45F6"/>
    <w:rsid w:val="00FE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9fd,#f5c30b,#efa82c,#cd9b17,#f7e8c7,#ff8001,#fad43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8728F1"/>
    <w:pPr>
      <w:keepNext/>
      <w:keepLines/>
      <w:spacing w:before="200"/>
      <w:outlineLvl w:val="1"/>
    </w:pPr>
    <w:rPr>
      <w:rFonts w:asciiTheme="majorHAnsi" w:eastAsiaTheme="majorEastAsia" w:hAnsiTheme="majorHAnsi" w:cstheme="majorBidi"/>
      <w:b/>
      <w:bCs/>
      <w:color w:val="7D0615" w:themeColor="accent1"/>
      <w:sz w:val="26"/>
      <w:szCs w:val="26"/>
    </w:rPr>
  </w:style>
  <w:style w:type="paragraph" w:styleId="Heading3">
    <w:name w:val="heading 3"/>
    <w:basedOn w:val="Normal"/>
    <w:next w:val="Normal"/>
    <w:link w:val="Heading3Char"/>
    <w:semiHidden/>
    <w:unhideWhenUsed/>
    <w:qFormat/>
    <w:rsid w:val="00F2799C"/>
    <w:pPr>
      <w:keepNext/>
      <w:keepLines/>
      <w:spacing w:before="200"/>
      <w:outlineLvl w:val="2"/>
    </w:pPr>
    <w:rPr>
      <w:rFonts w:asciiTheme="majorHAnsi" w:eastAsiaTheme="majorEastAsia" w:hAnsiTheme="majorHAnsi" w:cstheme="majorBidi"/>
      <w:b/>
      <w:bCs/>
      <w:color w:val="7D061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rsid w:val="00B70876"/>
    <w:pPr>
      <w:spacing w:after="100"/>
    </w:pPr>
  </w:style>
  <w:style w:type="paragraph" w:styleId="TOC2">
    <w:name w:val="toc 2"/>
    <w:basedOn w:val="Normal"/>
    <w:next w:val="Normal"/>
    <w:autoRedefine/>
    <w:rsid w:val="00B70876"/>
    <w:pPr>
      <w:spacing w:after="100"/>
      <w:ind w:left="240"/>
    </w:pPr>
  </w:style>
  <w:style w:type="paragraph" w:styleId="TOC3">
    <w:name w:val="toc 3"/>
    <w:basedOn w:val="Normal"/>
    <w:next w:val="Normal"/>
    <w:autoRedefine/>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6F89"/>
    <w:rPr>
      <w:color w:val="5D040F" w:themeColor="accent1" w:themeShade="BF"/>
    </w:rPr>
    <w:tblPr>
      <w:tblStyleRowBandSize w:val="1"/>
      <w:tblStyleColBandSize w:val="1"/>
      <w:tblInd w:w="0" w:type="dxa"/>
      <w:tblBorders>
        <w:top w:val="single" w:sz="8" w:space="0" w:color="7D0615" w:themeColor="accent1"/>
        <w:bottom w:val="single" w:sz="8" w:space="0" w:color="7D06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D0615" w:themeColor="accent1"/>
          <w:left w:val="nil"/>
          <w:bottom w:val="single" w:sz="8" w:space="0" w:color="7D0615" w:themeColor="accent1"/>
          <w:right w:val="nil"/>
          <w:insideH w:val="nil"/>
          <w:insideV w:val="nil"/>
        </w:tcBorders>
      </w:tcPr>
    </w:tblStylePr>
    <w:tblStylePr w:type="lastRow">
      <w:pPr>
        <w:spacing w:before="0" w:after="0" w:line="240" w:lineRule="auto"/>
      </w:pPr>
      <w:rPr>
        <w:b/>
        <w:bCs/>
      </w:rPr>
      <w:tblPr/>
      <w:tcPr>
        <w:tcBorders>
          <w:top w:val="single" w:sz="8" w:space="0" w:color="7D0615" w:themeColor="accent1"/>
          <w:left w:val="nil"/>
          <w:bottom w:val="single" w:sz="8" w:space="0" w:color="7D06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A5B0" w:themeFill="accent1" w:themeFillTint="3F"/>
      </w:tcPr>
    </w:tblStylePr>
    <w:tblStylePr w:type="band1Horz">
      <w:tblPr/>
      <w:tcPr>
        <w:tcBorders>
          <w:left w:val="nil"/>
          <w:right w:val="nil"/>
          <w:insideH w:val="nil"/>
          <w:insideV w:val="nil"/>
        </w:tcBorders>
        <w:shd w:val="clear" w:color="auto" w:fill="FAA5B0" w:themeFill="accent1" w:themeFillTint="3F"/>
      </w:tcPr>
    </w:tblStylePr>
  </w:style>
  <w:style w:type="table" w:styleId="LightList-Accent1">
    <w:name w:val="Light List Accent 1"/>
    <w:basedOn w:val="TableNormal"/>
    <w:uiPriority w:val="61"/>
    <w:rsid w:val="00DD04C0"/>
    <w:tblPr>
      <w:tblStyleRowBandSize w:val="1"/>
      <w:tblStyleColBandSize w:val="1"/>
      <w:tblInd w:w="0" w:type="dxa"/>
      <w:tblBorders>
        <w:top w:val="single" w:sz="8" w:space="0" w:color="7D0615" w:themeColor="accent1"/>
        <w:left w:val="single" w:sz="8" w:space="0" w:color="7D0615" w:themeColor="accent1"/>
        <w:bottom w:val="single" w:sz="8" w:space="0" w:color="7D0615" w:themeColor="accent1"/>
        <w:right w:val="single" w:sz="8" w:space="0" w:color="7D061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D0615" w:themeFill="accent1"/>
      </w:tcPr>
    </w:tblStylePr>
    <w:tblStylePr w:type="lastRow">
      <w:pPr>
        <w:spacing w:before="0" w:after="0" w:line="240" w:lineRule="auto"/>
      </w:pPr>
      <w:rPr>
        <w:b/>
        <w:bCs/>
      </w:rPr>
      <w:tblPr/>
      <w:tcPr>
        <w:tcBorders>
          <w:top w:val="double" w:sz="6" w:space="0" w:color="7D0615" w:themeColor="accent1"/>
          <w:left w:val="single" w:sz="8" w:space="0" w:color="7D0615" w:themeColor="accent1"/>
          <w:bottom w:val="single" w:sz="8" w:space="0" w:color="7D0615" w:themeColor="accent1"/>
          <w:right w:val="single" w:sz="8" w:space="0" w:color="7D0615" w:themeColor="accent1"/>
        </w:tcBorders>
      </w:tcPr>
    </w:tblStylePr>
    <w:tblStylePr w:type="firstCol">
      <w:rPr>
        <w:b/>
        <w:bCs/>
      </w:rPr>
    </w:tblStylePr>
    <w:tblStylePr w:type="lastCol">
      <w:rPr>
        <w:b/>
        <w:bCs/>
      </w:rPr>
    </w:tblStylePr>
    <w:tblStylePr w:type="band1Vert">
      <w:tblPr/>
      <w:tcPr>
        <w:tcBorders>
          <w:top w:val="single" w:sz="8" w:space="0" w:color="7D0615" w:themeColor="accent1"/>
          <w:left w:val="single" w:sz="8" w:space="0" w:color="7D0615" w:themeColor="accent1"/>
          <w:bottom w:val="single" w:sz="8" w:space="0" w:color="7D0615" w:themeColor="accent1"/>
          <w:right w:val="single" w:sz="8" w:space="0" w:color="7D0615" w:themeColor="accent1"/>
        </w:tcBorders>
      </w:tcPr>
    </w:tblStylePr>
    <w:tblStylePr w:type="band1Horz">
      <w:tblPr/>
      <w:tcPr>
        <w:tcBorders>
          <w:top w:val="single" w:sz="8" w:space="0" w:color="7D0615" w:themeColor="accent1"/>
          <w:left w:val="single" w:sz="8" w:space="0" w:color="7D0615" w:themeColor="accent1"/>
          <w:bottom w:val="single" w:sz="8" w:space="0" w:color="7D0615" w:themeColor="accent1"/>
          <w:right w:val="single" w:sz="8" w:space="0" w:color="7D0615"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Ind w:w="0" w:type="dxa"/>
      <w:tblBorders>
        <w:top w:val="single" w:sz="8" w:space="0" w:color="7D0615" w:themeColor="accent1"/>
        <w:left w:val="single" w:sz="8" w:space="0" w:color="7D0615" w:themeColor="accent1"/>
        <w:bottom w:val="single" w:sz="8" w:space="0" w:color="7D0615" w:themeColor="accent1"/>
        <w:right w:val="single" w:sz="8" w:space="0" w:color="7D061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D0615" w:themeColor="accent1"/>
          <w:right w:val="nil"/>
          <w:insideH w:val="nil"/>
          <w:insideV w:val="nil"/>
        </w:tcBorders>
        <w:shd w:val="clear" w:color="auto" w:fill="FFFFFF" w:themeFill="background1"/>
      </w:tcPr>
    </w:tblStylePr>
    <w:tblStylePr w:type="lastRow">
      <w:tblPr/>
      <w:tcPr>
        <w:tcBorders>
          <w:top w:val="single" w:sz="8" w:space="0" w:color="7D06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0615" w:themeColor="accent1"/>
          <w:insideH w:val="nil"/>
          <w:insideV w:val="nil"/>
        </w:tcBorders>
        <w:shd w:val="clear" w:color="auto" w:fill="FFFFFF" w:themeFill="background1"/>
      </w:tcPr>
    </w:tblStylePr>
    <w:tblStylePr w:type="lastCol">
      <w:tblPr/>
      <w:tcPr>
        <w:tcBorders>
          <w:top w:val="nil"/>
          <w:left w:val="single" w:sz="8" w:space="0" w:color="7D06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A5B0" w:themeFill="accent1" w:themeFillTint="3F"/>
      </w:tcPr>
    </w:tblStylePr>
    <w:tblStylePr w:type="band1Horz">
      <w:tblPr/>
      <w:tcPr>
        <w:tcBorders>
          <w:top w:val="nil"/>
          <w:bottom w:val="nil"/>
          <w:insideH w:val="nil"/>
          <w:insideV w:val="nil"/>
        </w:tcBorders>
        <w:shd w:val="clear" w:color="auto" w:fill="FAA5B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Ind w:w="0" w:type="dxa"/>
      <w:tblBorders>
        <w:top w:val="single" w:sz="8" w:space="0" w:color="7D0615" w:themeColor="accent1"/>
        <w:left w:val="single" w:sz="8" w:space="0" w:color="7D0615" w:themeColor="accent1"/>
        <w:bottom w:val="single" w:sz="8" w:space="0" w:color="7D0615" w:themeColor="accent1"/>
        <w:right w:val="single" w:sz="8" w:space="0" w:color="7D0615" w:themeColor="accent1"/>
        <w:insideH w:val="single" w:sz="8" w:space="0" w:color="7D0615" w:themeColor="accent1"/>
        <w:insideV w:val="single" w:sz="8" w:space="0" w:color="7D0615" w:themeColor="accent1"/>
      </w:tblBorders>
      <w:tblCellMar>
        <w:top w:w="0" w:type="dxa"/>
        <w:left w:w="108" w:type="dxa"/>
        <w:bottom w:w="0" w:type="dxa"/>
        <w:right w:w="108" w:type="dxa"/>
      </w:tblCellMar>
    </w:tblPr>
    <w:tcPr>
      <w:shd w:val="clear" w:color="auto" w:fill="FAA5B0" w:themeFill="accent1" w:themeFillTint="3F"/>
    </w:tcPr>
    <w:tblStylePr w:type="firstRow">
      <w:rPr>
        <w:b/>
        <w:bCs/>
        <w:color w:val="000000" w:themeColor="text1"/>
      </w:rPr>
      <w:tblPr/>
      <w:tcPr>
        <w:shd w:val="clear" w:color="auto" w:fill="FDDBD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B6BF" w:themeFill="accent1" w:themeFillTint="33"/>
      </w:tcPr>
    </w:tblStylePr>
    <w:tblStylePr w:type="band1Vert">
      <w:tblPr/>
      <w:tcPr>
        <w:shd w:val="clear" w:color="auto" w:fill="F64A60" w:themeFill="accent1" w:themeFillTint="7F"/>
      </w:tcPr>
    </w:tblStylePr>
    <w:tblStylePr w:type="band1Horz">
      <w:tblPr/>
      <w:tcPr>
        <w:tcBorders>
          <w:insideH w:val="single" w:sz="6" w:space="0" w:color="7D0615" w:themeColor="accent1"/>
          <w:insideV w:val="single" w:sz="6" w:space="0" w:color="7D0615" w:themeColor="accent1"/>
        </w:tcBorders>
        <w:shd w:val="clear" w:color="auto" w:fill="F64A60"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Ind w:w="0" w:type="dxa"/>
      <w:tblBorders>
        <w:top w:val="single" w:sz="8" w:space="0" w:color="7D0615" w:themeColor="accent1"/>
        <w:left w:val="single" w:sz="8" w:space="0" w:color="7D0615" w:themeColor="accent1"/>
        <w:bottom w:val="single" w:sz="8" w:space="0" w:color="7D0615" w:themeColor="accent1"/>
        <w:right w:val="single" w:sz="8" w:space="0" w:color="7D0615" w:themeColor="accent1"/>
        <w:insideH w:val="single" w:sz="8" w:space="0" w:color="7D0615" w:themeColor="accent1"/>
        <w:insideV w:val="single" w:sz="8" w:space="0" w:color="7D061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D0615" w:themeColor="accent1"/>
          <w:left w:val="single" w:sz="8" w:space="0" w:color="7D0615" w:themeColor="accent1"/>
          <w:bottom w:val="single" w:sz="18" w:space="0" w:color="7D0615" w:themeColor="accent1"/>
          <w:right w:val="single" w:sz="8" w:space="0" w:color="7D0615" w:themeColor="accent1"/>
          <w:insideH w:val="nil"/>
          <w:insideV w:val="single" w:sz="8" w:space="0" w:color="7D06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0615" w:themeColor="accent1"/>
          <w:left w:val="single" w:sz="8" w:space="0" w:color="7D0615" w:themeColor="accent1"/>
          <w:bottom w:val="single" w:sz="8" w:space="0" w:color="7D0615" w:themeColor="accent1"/>
          <w:right w:val="single" w:sz="8" w:space="0" w:color="7D0615" w:themeColor="accent1"/>
          <w:insideH w:val="nil"/>
          <w:insideV w:val="single" w:sz="8" w:space="0" w:color="7D06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0615" w:themeColor="accent1"/>
          <w:left w:val="single" w:sz="8" w:space="0" w:color="7D0615" w:themeColor="accent1"/>
          <w:bottom w:val="single" w:sz="8" w:space="0" w:color="7D0615" w:themeColor="accent1"/>
          <w:right w:val="single" w:sz="8" w:space="0" w:color="7D0615" w:themeColor="accent1"/>
        </w:tcBorders>
      </w:tcPr>
    </w:tblStylePr>
    <w:tblStylePr w:type="band1Vert">
      <w:tblPr/>
      <w:tcPr>
        <w:tcBorders>
          <w:top w:val="single" w:sz="8" w:space="0" w:color="7D0615" w:themeColor="accent1"/>
          <w:left w:val="single" w:sz="8" w:space="0" w:color="7D0615" w:themeColor="accent1"/>
          <w:bottom w:val="single" w:sz="8" w:space="0" w:color="7D0615" w:themeColor="accent1"/>
          <w:right w:val="single" w:sz="8" w:space="0" w:color="7D0615" w:themeColor="accent1"/>
        </w:tcBorders>
        <w:shd w:val="clear" w:color="auto" w:fill="FAA5B0" w:themeFill="accent1" w:themeFillTint="3F"/>
      </w:tcPr>
    </w:tblStylePr>
    <w:tblStylePr w:type="band1Horz">
      <w:tblPr/>
      <w:tcPr>
        <w:tcBorders>
          <w:top w:val="single" w:sz="8" w:space="0" w:color="7D0615" w:themeColor="accent1"/>
          <w:left w:val="single" w:sz="8" w:space="0" w:color="7D0615" w:themeColor="accent1"/>
          <w:bottom w:val="single" w:sz="8" w:space="0" w:color="7D0615" w:themeColor="accent1"/>
          <w:right w:val="single" w:sz="8" w:space="0" w:color="7D0615" w:themeColor="accent1"/>
          <w:insideV w:val="single" w:sz="8" w:space="0" w:color="7D0615" w:themeColor="accent1"/>
        </w:tcBorders>
        <w:shd w:val="clear" w:color="auto" w:fill="FAA5B0" w:themeFill="accent1" w:themeFillTint="3F"/>
      </w:tcPr>
    </w:tblStylePr>
    <w:tblStylePr w:type="band2Horz">
      <w:tblPr/>
      <w:tcPr>
        <w:tcBorders>
          <w:top w:val="single" w:sz="8" w:space="0" w:color="7D0615" w:themeColor="accent1"/>
          <w:left w:val="single" w:sz="8" w:space="0" w:color="7D0615" w:themeColor="accent1"/>
          <w:bottom w:val="single" w:sz="8" w:space="0" w:color="7D0615" w:themeColor="accent1"/>
          <w:right w:val="single" w:sz="8" w:space="0" w:color="7D0615" w:themeColor="accent1"/>
          <w:insideV w:val="single" w:sz="8" w:space="0" w:color="7D0615" w:themeColor="accent1"/>
        </w:tcBorders>
      </w:tcPr>
    </w:tblStylePr>
  </w:style>
  <w:style w:type="character" w:customStyle="1" w:styleId="Heading2Char">
    <w:name w:val="Heading 2 Char"/>
    <w:basedOn w:val="DefaultParagraphFont"/>
    <w:link w:val="Heading2"/>
    <w:semiHidden/>
    <w:rsid w:val="008728F1"/>
    <w:rPr>
      <w:rFonts w:asciiTheme="majorHAnsi" w:eastAsiaTheme="majorEastAsia" w:hAnsiTheme="majorHAnsi" w:cstheme="majorBidi"/>
      <w:b/>
      <w:bCs/>
      <w:color w:val="7D0615" w:themeColor="accent1"/>
      <w:sz w:val="26"/>
      <w:szCs w:val="26"/>
      <w:lang w:eastAsia="ko-KR"/>
    </w:rPr>
  </w:style>
  <w:style w:type="paragraph" w:styleId="NormalWeb">
    <w:name w:val="Normal (Web)"/>
    <w:basedOn w:val="Normal"/>
    <w:uiPriority w:val="99"/>
    <w:unhideWhenUsed/>
    <w:rsid w:val="008728F1"/>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8728F1"/>
    <w:rPr>
      <w:b/>
      <w:bCs/>
    </w:rPr>
  </w:style>
  <w:style w:type="character" w:customStyle="1" w:styleId="Heading3Char">
    <w:name w:val="Heading 3 Char"/>
    <w:basedOn w:val="DefaultParagraphFont"/>
    <w:link w:val="Heading3"/>
    <w:semiHidden/>
    <w:rsid w:val="00F2799C"/>
    <w:rPr>
      <w:rFonts w:asciiTheme="majorHAnsi" w:eastAsiaTheme="majorEastAsia" w:hAnsiTheme="majorHAnsi" w:cstheme="majorBidi"/>
      <w:b/>
      <w:bCs/>
      <w:color w:val="7D0615" w:themeColor="accent1"/>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8728F1"/>
    <w:pPr>
      <w:keepNext/>
      <w:keepLines/>
      <w:spacing w:before="200"/>
      <w:outlineLvl w:val="1"/>
    </w:pPr>
    <w:rPr>
      <w:rFonts w:asciiTheme="majorHAnsi" w:eastAsiaTheme="majorEastAsia" w:hAnsiTheme="majorHAnsi" w:cstheme="majorBidi"/>
      <w:b/>
      <w:bCs/>
      <w:color w:val="7D0615" w:themeColor="accent1"/>
      <w:sz w:val="26"/>
      <w:szCs w:val="26"/>
    </w:rPr>
  </w:style>
  <w:style w:type="paragraph" w:styleId="Heading3">
    <w:name w:val="heading 3"/>
    <w:basedOn w:val="Normal"/>
    <w:next w:val="Normal"/>
    <w:link w:val="Heading3Char"/>
    <w:semiHidden/>
    <w:unhideWhenUsed/>
    <w:qFormat/>
    <w:rsid w:val="00F2799C"/>
    <w:pPr>
      <w:keepNext/>
      <w:keepLines/>
      <w:spacing w:before="200"/>
      <w:outlineLvl w:val="2"/>
    </w:pPr>
    <w:rPr>
      <w:rFonts w:asciiTheme="majorHAnsi" w:eastAsiaTheme="majorEastAsia" w:hAnsiTheme="majorHAnsi" w:cstheme="majorBidi"/>
      <w:b/>
      <w:bCs/>
      <w:color w:val="7D061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rsid w:val="00B70876"/>
    <w:pPr>
      <w:spacing w:after="100"/>
    </w:pPr>
  </w:style>
  <w:style w:type="paragraph" w:styleId="TOC2">
    <w:name w:val="toc 2"/>
    <w:basedOn w:val="Normal"/>
    <w:next w:val="Normal"/>
    <w:autoRedefine/>
    <w:rsid w:val="00B70876"/>
    <w:pPr>
      <w:spacing w:after="100"/>
      <w:ind w:left="240"/>
    </w:pPr>
  </w:style>
  <w:style w:type="paragraph" w:styleId="TOC3">
    <w:name w:val="toc 3"/>
    <w:basedOn w:val="Normal"/>
    <w:next w:val="Normal"/>
    <w:autoRedefine/>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6F89"/>
    <w:rPr>
      <w:color w:val="5D040F" w:themeColor="accent1" w:themeShade="BF"/>
    </w:rPr>
    <w:tblPr>
      <w:tblStyleRowBandSize w:val="1"/>
      <w:tblStyleColBandSize w:val="1"/>
      <w:tblInd w:w="0" w:type="dxa"/>
      <w:tblBorders>
        <w:top w:val="single" w:sz="8" w:space="0" w:color="7D0615" w:themeColor="accent1"/>
        <w:bottom w:val="single" w:sz="8" w:space="0" w:color="7D06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D0615" w:themeColor="accent1"/>
          <w:left w:val="nil"/>
          <w:bottom w:val="single" w:sz="8" w:space="0" w:color="7D0615" w:themeColor="accent1"/>
          <w:right w:val="nil"/>
          <w:insideH w:val="nil"/>
          <w:insideV w:val="nil"/>
        </w:tcBorders>
      </w:tcPr>
    </w:tblStylePr>
    <w:tblStylePr w:type="lastRow">
      <w:pPr>
        <w:spacing w:before="0" w:after="0" w:line="240" w:lineRule="auto"/>
      </w:pPr>
      <w:rPr>
        <w:b/>
        <w:bCs/>
      </w:rPr>
      <w:tblPr/>
      <w:tcPr>
        <w:tcBorders>
          <w:top w:val="single" w:sz="8" w:space="0" w:color="7D0615" w:themeColor="accent1"/>
          <w:left w:val="nil"/>
          <w:bottom w:val="single" w:sz="8" w:space="0" w:color="7D06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A5B0" w:themeFill="accent1" w:themeFillTint="3F"/>
      </w:tcPr>
    </w:tblStylePr>
    <w:tblStylePr w:type="band1Horz">
      <w:tblPr/>
      <w:tcPr>
        <w:tcBorders>
          <w:left w:val="nil"/>
          <w:right w:val="nil"/>
          <w:insideH w:val="nil"/>
          <w:insideV w:val="nil"/>
        </w:tcBorders>
        <w:shd w:val="clear" w:color="auto" w:fill="FAA5B0" w:themeFill="accent1" w:themeFillTint="3F"/>
      </w:tcPr>
    </w:tblStylePr>
  </w:style>
  <w:style w:type="table" w:styleId="LightList-Accent1">
    <w:name w:val="Light List Accent 1"/>
    <w:basedOn w:val="TableNormal"/>
    <w:uiPriority w:val="61"/>
    <w:rsid w:val="00DD04C0"/>
    <w:tblPr>
      <w:tblStyleRowBandSize w:val="1"/>
      <w:tblStyleColBandSize w:val="1"/>
      <w:tblInd w:w="0" w:type="dxa"/>
      <w:tblBorders>
        <w:top w:val="single" w:sz="8" w:space="0" w:color="7D0615" w:themeColor="accent1"/>
        <w:left w:val="single" w:sz="8" w:space="0" w:color="7D0615" w:themeColor="accent1"/>
        <w:bottom w:val="single" w:sz="8" w:space="0" w:color="7D0615" w:themeColor="accent1"/>
        <w:right w:val="single" w:sz="8" w:space="0" w:color="7D061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D0615" w:themeFill="accent1"/>
      </w:tcPr>
    </w:tblStylePr>
    <w:tblStylePr w:type="lastRow">
      <w:pPr>
        <w:spacing w:before="0" w:after="0" w:line="240" w:lineRule="auto"/>
      </w:pPr>
      <w:rPr>
        <w:b/>
        <w:bCs/>
      </w:rPr>
      <w:tblPr/>
      <w:tcPr>
        <w:tcBorders>
          <w:top w:val="double" w:sz="6" w:space="0" w:color="7D0615" w:themeColor="accent1"/>
          <w:left w:val="single" w:sz="8" w:space="0" w:color="7D0615" w:themeColor="accent1"/>
          <w:bottom w:val="single" w:sz="8" w:space="0" w:color="7D0615" w:themeColor="accent1"/>
          <w:right w:val="single" w:sz="8" w:space="0" w:color="7D0615" w:themeColor="accent1"/>
        </w:tcBorders>
      </w:tcPr>
    </w:tblStylePr>
    <w:tblStylePr w:type="firstCol">
      <w:rPr>
        <w:b/>
        <w:bCs/>
      </w:rPr>
    </w:tblStylePr>
    <w:tblStylePr w:type="lastCol">
      <w:rPr>
        <w:b/>
        <w:bCs/>
      </w:rPr>
    </w:tblStylePr>
    <w:tblStylePr w:type="band1Vert">
      <w:tblPr/>
      <w:tcPr>
        <w:tcBorders>
          <w:top w:val="single" w:sz="8" w:space="0" w:color="7D0615" w:themeColor="accent1"/>
          <w:left w:val="single" w:sz="8" w:space="0" w:color="7D0615" w:themeColor="accent1"/>
          <w:bottom w:val="single" w:sz="8" w:space="0" w:color="7D0615" w:themeColor="accent1"/>
          <w:right w:val="single" w:sz="8" w:space="0" w:color="7D0615" w:themeColor="accent1"/>
        </w:tcBorders>
      </w:tcPr>
    </w:tblStylePr>
    <w:tblStylePr w:type="band1Horz">
      <w:tblPr/>
      <w:tcPr>
        <w:tcBorders>
          <w:top w:val="single" w:sz="8" w:space="0" w:color="7D0615" w:themeColor="accent1"/>
          <w:left w:val="single" w:sz="8" w:space="0" w:color="7D0615" w:themeColor="accent1"/>
          <w:bottom w:val="single" w:sz="8" w:space="0" w:color="7D0615" w:themeColor="accent1"/>
          <w:right w:val="single" w:sz="8" w:space="0" w:color="7D0615"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Ind w:w="0" w:type="dxa"/>
      <w:tblBorders>
        <w:top w:val="single" w:sz="8" w:space="0" w:color="7D0615" w:themeColor="accent1"/>
        <w:left w:val="single" w:sz="8" w:space="0" w:color="7D0615" w:themeColor="accent1"/>
        <w:bottom w:val="single" w:sz="8" w:space="0" w:color="7D0615" w:themeColor="accent1"/>
        <w:right w:val="single" w:sz="8" w:space="0" w:color="7D061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D0615" w:themeColor="accent1"/>
          <w:right w:val="nil"/>
          <w:insideH w:val="nil"/>
          <w:insideV w:val="nil"/>
        </w:tcBorders>
        <w:shd w:val="clear" w:color="auto" w:fill="FFFFFF" w:themeFill="background1"/>
      </w:tcPr>
    </w:tblStylePr>
    <w:tblStylePr w:type="lastRow">
      <w:tblPr/>
      <w:tcPr>
        <w:tcBorders>
          <w:top w:val="single" w:sz="8" w:space="0" w:color="7D06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0615" w:themeColor="accent1"/>
          <w:insideH w:val="nil"/>
          <w:insideV w:val="nil"/>
        </w:tcBorders>
        <w:shd w:val="clear" w:color="auto" w:fill="FFFFFF" w:themeFill="background1"/>
      </w:tcPr>
    </w:tblStylePr>
    <w:tblStylePr w:type="lastCol">
      <w:tblPr/>
      <w:tcPr>
        <w:tcBorders>
          <w:top w:val="nil"/>
          <w:left w:val="single" w:sz="8" w:space="0" w:color="7D06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A5B0" w:themeFill="accent1" w:themeFillTint="3F"/>
      </w:tcPr>
    </w:tblStylePr>
    <w:tblStylePr w:type="band1Horz">
      <w:tblPr/>
      <w:tcPr>
        <w:tcBorders>
          <w:top w:val="nil"/>
          <w:bottom w:val="nil"/>
          <w:insideH w:val="nil"/>
          <w:insideV w:val="nil"/>
        </w:tcBorders>
        <w:shd w:val="clear" w:color="auto" w:fill="FAA5B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Ind w:w="0" w:type="dxa"/>
      <w:tblBorders>
        <w:top w:val="single" w:sz="8" w:space="0" w:color="7D0615" w:themeColor="accent1"/>
        <w:left w:val="single" w:sz="8" w:space="0" w:color="7D0615" w:themeColor="accent1"/>
        <w:bottom w:val="single" w:sz="8" w:space="0" w:color="7D0615" w:themeColor="accent1"/>
        <w:right w:val="single" w:sz="8" w:space="0" w:color="7D0615" w:themeColor="accent1"/>
        <w:insideH w:val="single" w:sz="8" w:space="0" w:color="7D0615" w:themeColor="accent1"/>
        <w:insideV w:val="single" w:sz="8" w:space="0" w:color="7D0615" w:themeColor="accent1"/>
      </w:tblBorders>
      <w:tblCellMar>
        <w:top w:w="0" w:type="dxa"/>
        <w:left w:w="108" w:type="dxa"/>
        <w:bottom w:w="0" w:type="dxa"/>
        <w:right w:w="108" w:type="dxa"/>
      </w:tblCellMar>
    </w:tblPr>
    <w:tcPr>
      <w:shd w:val="clear" w:color="auto" w:fill="FAA5B0" w:themeFill="accent1" w:themeFillTint="3F"/>
    </w:tcPr>
    <w:tblStylePr w:type="firstRow">
      <w:rPr>
        <w:b/>
        <w:bCs/>
        <w:color w:val="000000" w:themeColor="text1"/>
      </w:rPr>
      <w:tblPr/>
      <w:tcPr>
        <w:shd w:val="clear" w:color="auto" w:fill="FDDBD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B6BF" w:themeFill="accent1" w:themeFillTint="33"/>
      </w:tcPr>
    </w:tblStylePr>
    <w:tblStylePr w:type="band1Vert">
      <w:tblPr/>
      <w:tcPr>
        <w:shd w:val="clear" w:color="auto" w:fill="F64A60" w:themeFill="accent1" w:themeFillTint="7F"/>
      </w:tcPr>
    </w:tblStylePr>
    <w:tblStylePr w:type="band1Horz">
      <w:tblPr/>
      <w:tcPr>
        <w:tcBorders>
          <w:insideH w:val="single" w:sz="6" w:space="0" w:color="7D0615" w:themeColor="accent1"/>
          <w:insideV w:val="single" w:sz="6" w:space="0" w:color="7D0615" w:themeColor="accent1"/>
        </w:tcBorders>
        <w:shd w:val="clear" w:color="auto" w:fill="F64A60"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Ind w:w="0" w:type="dxa"/>
      <w:tblBorders>
        <w:top w:val="single" w:sz="8" w:space="0" w:color="7D0615" w:themeColor="accent1"/>
        <w:left w:val="single" w:sz="8" w:space="0" w:color="7D0615" w:themeColor="accent1"/>
        <w:bottom w:val="single" w:sz="8" w:space="0" w:color="7D0615" w:themeColor="accent1"/>
        <w:right w:val="single" w:sz="8" w:space="0" w:color="7D0615" w:themeColor="accent1"/>
        <w:insideH w:val="single" w:sz="8" w:space="0" w:color="7D0615" w:themeColor="accent1"/>
        <w:insideV w:val="single" w:sz="8" w:space="0" w:color="7D061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D0615" w:themeColor="accent1"/>
          <w:left w:val="single" w:sz="8" w:space="0" w:color="7D0615" w:themeColor="accent1"/>
          <w:bottom w:val="single" w:sz="18" w:space="0" w:color="7D0615" w:themeColor="accent1"/>
          <w:right w:val="single" w:sz="8" w:space="0" w:color="7D0615" w:themeColor="accent1"/>
          <w:insideH w:val="nil"/>
          <w:insideV w:val="single" w:sz="8" w:space="0" w:color="7D06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0615" w:themeColor="accent1"/>
          <w:left w:val="single" w:sz="8" w:space="0" w:color="7D0615" w:themeColor="accent1"/>
          <w:bottom w:val="single" w:sz="8" w:space="0" w:color="7D0615" w:themeColor="accent1"/>
          <w:right w:val="single" w:sz="8" w:space="0" w:color="7D0615" w:themeColor="accent1"/>
          <w:insideH w:val="nil"/>
          <w:insideV w:val="single" w:sz="8" w:space="0" w:color="7D06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0615" w:themeColor="accent1"/>
          <w:left w:val="single" w:sz="8" w:space="0" w:color="7D0615" w:themeColor="accent1"/>
          <w:bottom w:val="single" w:sz="8" w:space="0" w:color="7D0615" w:themeColor="accent1"/>
          <w:right w:val="single" w:sz="8" w:space="0" w:color="7D0615" w:themeColor="accent1"/>
        </w:tcBorders>
      </w:tcPr>
    </w:tblStylePr>
    <w:tblStylePr w:type="band1Vert">
      <w:tblPr/>
      <w:tcPr>
        <w:tcBorders>
          <w:top w:val="single" w:sz="8" w:space="0" w:color="7D0615" w:themeColor="accent1"/>
          <w:left w:val="single" w:sz="8" w:space="0" w:color="7D0615" w:themeColor="accent1"/>
          <w:bottom w:val="single" w:sz="8" w:space="0" w:color="7D0615" w:themeColor="accent1"/>
          <w:right w:val="single" w:sz="8" w:space="0" w:color="7D0615" w:themeColor="accent1"/>
        </w:tcBorders>
        <w:shd w:val="clear" w:color="auto" w:fill="FAA5B0" w:themeFill="accent1" w:themeFillTint="3F"/>
      </w:tcPr>
    </w:tblStylePr>
    <w:tblStylePr w:type="band1Horz">
      <w:tblPr/>
      <w:tcPr>
        <w:tcBorders>
          <w:top w:val="single" w:sz="8" w:space="0" w:color="7D0615" w:themeColor="accent1"/>
          <w:left w:val="single" w:sz="8" w:space="0" w:color="7D0615" w:themeColor="accent1"/>
          <w:bottom w:val="single" w:sz="8" w:space="0" w:color="7D0615" w:themeColor="accent1"/>
          <w:right w:val="single" w:sz="8" w:space="0" w:color="7D0615" w:themeColor="accent1"/>
          <w:insideV w:val="single" w:sz="8" w:space="0" w:color="7D0615" w:themeColor="accent1"/>
        </w:tcBorders>
        <w:shd w:val="clear" w:color="auto" w:fill="FAA5B0" w:themeFill="accent1" w:themeFillTint="3F"/>
      </w:tcPr>
    </w:tblStylePr>
    <w:tblStylePr w:type="band2Horz">
      <w:tblPr/>
      <w:tcPr>
        <w:tcBorders>
          <w:top w:val="single" w:sz="8" w:space="0" w:color="7D0615" w:themeColor="accent1"/>
          <w:left w:val="single" w:sz="8" w:space="0" w:color="7D0615" w:themeColor="accent1"/>
          <w:bottom w:val="single" w:sz="8" w:space="0" w:color="7D0615" w:themeColor="accent1"/>
          <w:right w:val="single" w:sz="8" w:space="0" w:color="7D0615" w:themeColor="accent1"/>
          <w:insideV w:val="single" w:sz="8" w:space="0" w:color="7D0615" w:themeColor="accent1"/>
        </w:tcBorders>
      </w:tcPr>
    </w:tblStylePr>
  </w:style>
  <w:style w:type="character" w:customStyle="1" w:styleId="Heading2Char">
    <w:name w:val="Heading 2 Char"/>
    <w:basedOn w:val="DefaultParagraphFont"/>
    <w:link w:val="Heading2"/>
    <w:semiHidden/>
    <w:rsid w:val="008728F1"/>
    <w:rPr>
      <w:rFonts w:asciiTheme="majorHAnsi" w:eastAsiaTheme="majorEastAsia" w:hAnsiTheme="majorHAnsi" w:cstheme="majorBidi"/>
      <w:b/>
      <w:bCs/>
      <w:color w:val="7D0615" w:themeColor="accent1"/>
      <w:sz w:val="26"/>
      <w:szCs w:val="26"/>
      <w:lang w:eastAsia="ko-KR"/>
    </w:rPr>
  </w:style>
  <w:style w:type="paragraph" w:styleId="NormalWeb">
    <w:name w:val="Normal (Web)"/>
    <w:basedOn w:val="Normal"/>
    <w:uiPriority w:val="99"/>
    <w:unhideWhenUsed/>
    <w:rsid w:val="008728F1"/>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8728F1"/>
    <w:rPr>
      <w:b/>
      <w:bCs/>
    </w:rPr>
  </w:style>
  <w:style w:type="character" w:customStyle="1" w:styleId="Heading3Char">
    <w:name w:val="Heading 3 Char"/>
    <w:basedOn w:val="DefaultParagraphFont"/>
    <w:link w:val="Heading3"/>
    <w:semiHidden/>
    <w:rsid w:val="00F2799C"/>
    <w:rPr>
      <w:rFonts w:asciiTheme="majorHAnsi" w:eastAsiaTheme="majorEastAsia" w:hAnsiTheme="majorHAnsi" w:cstheme="majorBidi"/>
      <w:b/>
      <w:bCs/>
      <w:color w:val="7D0615" w:themeColor="accent1"/>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84412">
      <w:bodyDiv w:val="1"/>
      <w:marLeft w:val="0"/>
      <w:marRight w:val="0"/>
      <w:marTop w:val="0"/>
      <w:marBottom w:val="0"/>
      <w:divBdr>
        <w:top w:val="none" w:sz="0" w:space="0" w:color="auto"/>
        <w:left w:val="none" w:sz="0" w:space="0" w:color="auto"/>
        <w:bottom w:val="none" w:sz="0" w:space="0" w:color="auto"/>
        <w:right w:val="none" w:sz="0" w:space="0" w:color="auto"/>
      </w:divBdr>
    </w:div>
    <w:div w:id="329795167">
      <w:bodyDiv w:val="1"/>
      <w:marLeft w:val="0"/>
      <w:marRight w:val="0"/>
      <w:marTop w:val="0"/>
      <w:marBottom w:val="0"/>
      <w:divBdr>
        <w:top w:val="none" w:sz="0" w:space="0" w:color="auto"/>
        <w:left w:val="none" w:sz="0" w:space="0" w:color="auto"/>
        <w:bottom w:val="none" w:sz="0" w:space="0" w:color="auto"/>
        <w:right w:val="none" w:sz="0" w:space="0" w:color="auto"/>
      </w:divBdr>
    </w:div>
    <w:div w:id="599531785">
      <w:bodyDiv w:val="1"/>
      <w:marLeft w:val="0"/>
      <w:marRight w:val="0"/>
      <w:marTop w:val="0"/>
      <w:marBottom w:val="0"/>
      <w:divBdr>
        <w:top w:val="none" w:sz="0" w:space="0" w:color="auto"/>
        <w:left w:val="none" w:sz="0" w:space="0" w:color="auto"/>
        <w:bottom w:val="none" w:sz="0" w:space="0" w:color="auto"/>
        <w:right w:val="none" w:sz="0" w:space="0" w:color="auto"/>
      </w:divBdr>
    </w:div>
    <w:div w:id="648169558">
      <w:bodyDiv w:val="1"/>
      <w:marLeft w:val="0"/>
      <w:marRight w:val="0"/>
      <w:marTop w:val="0"/>
      <w:marBottom w:val="0"/>
      <w:divBdr>
        <w:top w:val="none" w:sz="0" w:space="0" w:color="auto"/>
        <w:left w:val="none" w:sz="0" w:space="0" w:color="auto"/>
        <w:bottom w:val="none" w:sz="0" w:space="0" w:color="auto"/>
        <w:right w:val="none" w:sz="0" w:space="0" w:color="auto"/>
      </w:divBdr>
    </w:div>
    <w:div w:id="1315836219">
      <w:bodyDiv w:val="1"/>
      <w:marLeft w:val="0"/>
      <w:marRight w:val="0"/>
      <w:marTop w:val="0"/>
      <w:marBottom w:val="0"/>
      <w:divBdr>
        <w:top w:val="none" w:sz="0" w:space="0" w:color="auto"/>
        <w:left w:val="none" w:sz="0" w:space="0" w:color="auto"/>
        <w:bottom w:val="none" w:sz="0" w:space="0" w:color="auto"/>
        <w:right w:val="none" w:sz="0" w:space="0" w:color="auto"/>
      </w:divBdr>
      <w:divsChild>
        <w:div w:id="501698861">
          <w:marLeft w:val="0"/>
          <w:marRight w:val="0"/>
          <w:marTop w:val="0"/>
          <w:marBottom w:val="0"/>
          <w:divBdr>
            <w:top w:val="single" w:sz="6" w:space="4" w:color="ABABAB"/>
            <w:left w:val="single" w:sz="6" w:space="4" w:color="ABABAB"/>
            <w:bottom w:val="single" w:sz="6" w:space="4" w:color="ABABAB"/>
            <w:right w:val="single" w:sz="6" w:space="4" w:color="ABABAB"/>
          </w:divBdr>
          <w:divsChild>
            <w:div w:id="1553467497">
              <w:marLeft w:val="0"/>
              <w:marRight w:val="0"/>
              <w:marTop w:val="0"/>
              <w:marBottom w:val="0"/>
              <w:divBdr>
                <w:top w:val="none" w:sz="0" w:space="0" w:color="auto"/>
                <w:left w:val="none" w:sz="0" w:space="0" w:color="auto"/>
                <w:bottom w:val="none" w:sz="0" w:space="0" w:color="auto"/>
                <w:right w:val="none" w:sz="0" w:space="0" w:color="auto"/>
              </w:divBdr>
              <w:divsChild>
                <w:div w:id="14624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3239">
          <w:marLeft w:val="0"/>
          <w:marRight w:val="0"/>
          <w:marTop w:val="0"/>
          <w:marBottom w:val="0"/>
          <w:divBdr>
            <w:top w:val="single" w:sz="6" w:space="4" w:color="auto"/>
            <w:left w:val="single" w:sz="6" w:space="4" w:color="auto"/>
            <w:bottom w:val="single" w:sz="6" w:space="4" w:color="auto"/>
            <w:right w:val="single" w:sz="6" w:space="4" w:color="auto"/>
          </w:divBdr>
          <w:divsChild>
            <w:div w:id="1033580257">
              <w:marLeft w:val="0"/>
              <w:marRight w:val="0"/>
              <w:marTop w:val="0"/>
              <w:marBottom w:val="0"/>
              <w:divBdr>
                <w:top w:val="none" w:sz="0" w:space="0" w:color="auto"/>
                <w:left w:val="none" w:sz="0" w:space="0" w:color="auto"/>
                <w:bottom w:val="none" w:sz="0" w:space="0" w:color="auto"/>
                <w:right w:val="none" w:sz="0" w:space="0" w:color="auto"/>
              </w:divBdr>
              <w:divsChild>
                <w:div w:id="9373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1426">
      <w:bodyDiv w:val="1"/>
      <w:marLeft w:val="0"/>
      <w:marRight w:val="0"/>
      <w:marTop w:val="0"/>
      <w:marBottom w:val="0"/>
      <w:divBdr>
        <w:top w:val="none" w:sz="0" w:space="0" w:color="auto"/>
        <w:left w:val="none" w:sz="0" w:space="0" w:color="auto"/>
        <w:bottom w:val="none" w:sz="0" w:space="0" w:color="auto"/>
        <w:right w:val="none" w:sz="0" w:space="0" w:color="auto"/>
      </w:divBdr>
    </w:div>
    <w:div w:id="1405300404">
      <w:bodyDiv w:val="1"/>
      <w:marLeft w:val="0"/>
      <w:marRight w:val="0"/>
      <w:marTop w:val="0"/>
      <w:marBottom w:val="0"/>
      <w:divBdr>
        <w:top w:val="none" w:sz="0" w:space="0" w:color="auto"/>
        <w:left w:val="none" w:sz="0" w:space="0" w:color="auto"/>
        <w:bottom w:val="none" w:sz="0" w:space="0" w:color="auto"/>
        <w:right w:val="none" w:sz="0" w:space="0" w:color="auto"/>
      </w:divBdr>
      <w:divsChild>
        <w:div w:id="1062829551">
          <w:marLeft w:val="0"/>
          <w:marRight w:val="0"/>
          <w:marTop w:val="0"/>
          <w:marBottom w:val="0"/>
          <w:divBdr>
            <w:top w:val="single" w:sz="6" w:space="4" w:color="auto"/>
            <w:left w:val="single" w:sz="6" w:space="4" w:color="auto"/>
            <w:bottom w:val="single" w:sz="6" w:space="4" w:color="auto"/>
            <w:right w:val="single" w:sz="6" w:space="4" w:color="auto"/>
          </w:divBdr>
          <w:divsChild>
            <w:div w:id="1159617414">
              <w:marLeft w:val="0"/>
              <w:marRight w:val="0"/>
              <w:marTop w:val="0"/>
              <w:marBottom w:val="0"/>
              <w:divBdr>
                <w:top w:val="none" w:sz="0" w:space="0" w:color="auto"/>
                <w:left w:val="none" w:sz="0" w:space="0" w:color="auto"/>
                <w:bottom w:val="none" w:sz="0" w:space="0" w:color="auto"/>
                <w:right w:val="none" w:sz="0" w:space="0" w:color="auto"/>
              </w:divBdr>
              <w:divsChild>
                <w:div w:id="1593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4728">
          <w:marLeft w:val="0"/>
          <w:marRight w:val="0"/>
          <w:marTop w:val="0"/>
          <w:marBottom w:val="0"/>
          <w:divBdr>
            <w:top w:val="single" w:sz="6" w:space="4" w:color="auto"/>
            <w:left w:val="single" w:sz="6" w:space="4" w:color="auto"/>
            <w:bottom w:val="single" w:sz="6" w:space="4" w:color="auto"/>
            <w:right w:val="single" w:sz="6" w:space="4" w:color="auto"/>
          </w:divBdr>
          <w:divsChild>
            <w:div w:id="2087143498">
              <w:marLeft w:val="0"/>
              <w:marRight w:val="0"/>
              <w:marTop w:val="0"/>
              <w:marBottom w:val="0"/>
              <w:divBdr>
                <w:top w:val="none" w:sz="0" w:space="0" w:color="auto"/>
                <w:left w:val="none" w:sz="0" w:space="0" w:color="auto"/>
                <w:bottom w:val="none" w:sz="0" w:space="0" w:color="auto"/>
                <w:right w:val="none" w:sz="0" w:space="0" w:color="auto"/>
              </w:divBdr>
              <w:divsChild>
                <w:div w:id="6371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5920">
      <w:bodyDiv w:val="1"/>
      <w:marLeft w:val="0"/>
      <w:marRight w:val="0"/>
      <w:marTop w:val="0"/>
      <w:marBottom w:val="0"/>
      <w:divBdr>
        <w:top w:val="none" w:sz="0" w:space="0" w:color="auto"/>
        <w:left w:val="none" w:sz="0" w:space="0" w:color="auto"/>
        <w:bottom w:val="none" w:sz="0" w:space="0" w:color="auto"/>
        <w:right w:val="none" w:sz="0" w:space="0" w:color="auto"/>
      </w:divBdr>
    </w:div>
    <w:div w:id="1945771399">
      <w:bodyDiv w:val="1"/>
      <w:marLeft w:val="0"/>
      <w:marRight w:val="0"/>
      <w:marTop w:val="0"/>
      <w:marBottom w:val="0"/>
      <w:divBdr>
        <w:top w:val="none" w:sz="0" w:space="0" w:color="auto"/>
        <w:left w:val="none" w:sz="0" w:space="0" w:color="auto"/>
        <w:bottom w:val="none" w:sz="0" w:space="0" w:color="auto"/>
        <w:right w:val="none" w:sz="0" w:space="0" w:color="auto"/>
      </w:divBdr>
    </w:div>
    <w:div w:id="2001302747">
      <w:bodyDiv w:val="1"/>
      <w:marLeft w:val="0"/>
      <w:marRight w:val="0"/>
      <w:marTop w:val="0"/>
      <w:marBottom w:val="0"/>
      <w:divBdr>
        <w:top w:val="none" w:sz="0" w:space="0" w:color="auto"/>
        <w:left w:val="none" w:sz="0" w:space="0" w:color="auto"/>
        <w:bottom w:val="none" w:sz="0" w:space="0" w:color="auto"/>
        <w:right w:val="none" w:sz="0" w:space="0" w:color="auto"/>
      </w:divBdr>
    </w:div>
    <w:div w:id="205692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fred.stlouisfed.org/series/USACPALTT01CTGYM" TargetMode="External"/><Relationship Id="rId39" Type="http://schemas.openxmlformats.org/officeDocument/2006/relationships/hyperlink" Target="https://fred.stlouisfed.org/series/MSACSR" TargetMode="External"/><Relationship Id="rId3" Type="http://schemas.openxmlformats.org/officeDocument/2006/relationships/styles" Target="styles.xml"/><Relationship Id="rId21" Type="http://schemas.openxmlformats.org/officeDocument/2006/relationships/hyperlink" Target="https://fred.stlouisfed.org/series/MORTGAGE30US" TargetMode="External"/><Relationship Id="rId34" Type="http://schemas.openxmlformats.org/officeDocument/2006/relationships/hyperlink" Target="https://fred.stlouisfed.org/series/TLRESCONS" TargetMode="External"/><Relationship Id="rId42" Type="http://schemas.openxmlformats.org/officeDocument/2006/relationships/hyperlink" Target="https://fred.stlouisfed.org/series/CORESTICKM159SFRBATL"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red.stlouisfed.org/series/ASPUS" TargetMode="External"/><Relationship Id="rId33" Type="http://schemas.openxmlformats.org/officeDocument/2006/relationships/hyperlink" Target="https://fred.stlouisfed.org/series/MEHOINUSA672N" TargetMode="External"/><Relationship Id="rId38" Type="http://schemas.openxmlformats.org/officeDocument/2006/relationships/hyperlink" Target="https://fred.stlouisfed.org/series/HOSSUPUSM673N"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red.stlouisfed.org/series/UNRATE" TargetMode="External"/><Relationship Id="rId29" Type="http://schemas.openxmlformats.org/officeDocument/2006/relationships/hyperlink" Target="https://fred.stlouisfed.org/series/EVACANTUSQ176N" TargetMode="External"/><Relationship Id="rId41" Type="http://schemas.openxmlformats.org/officeDocument/2006/relationships/hyperlink" Target="https://fred.stlouisfed.org/series/HOSMEDUSM052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fred.stlouisfed.org/series/ASPUS" TargetMode="External"/><Relationship Id="rId32" Type="http://schemas.openxmlformats.org/officeDocument/2006/relationships/hyperlink" Target="https://fred.stlouisfed.org/series/MSPUS" TargetMode="External"/><Relationship Id="rId37" Type="http://schemas.openxmlformats.org/officeDocument/2006/relationships/hyperlink" Target="https://fred.stlouisfed.org/series/ETOTALUSQ176N" TargetMode="External"/><Relationship Id="rId40" Type="http://schemas.openxmlformats.org/officeDocument/2006/relationships/hyperlink" Target="https://fred.stlouisfed.org/series/MSPNHSUS" TargetMode="External"/><Relationship Id="rId45" Type="http://schemas.openxmlformats.org/officeDocument/2006/relationships/hyperlink" Target="https://fred.stlouisfed.org/series/FIXHA"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fred.stlouisfed.org/series/CSUSHPISA" TargetMode="External"/><Relationship Id="rId28" Type="http://schemas.openxmlformats.org/officeDocument/2006/relationships/hyperlink" Target="https://fred.stlouisfed.org/series/MSACSR" TargetMode="External"/><Relationship Id="rId36" Type="http://schemas.openxmlformats.org/officeDocument/2006/relationships/hyperlink" Target="https://fred.stlouisfed.org/series/MORTGAGE15US"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fred.stlouisfed.org/series/UMCSENT" TargetMode="External"/><Relationship Id="rId44" Type="http://schemas.openxmlformats.org/officeDocument/2006/relationships/hyperlink" Target="https://fred.stlouisfed.org/series/RHORUSQ156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fred.stlouisfed.org/series/MORTGAGE30US" TargetMode="External"/><Relationship Id="rId27" Type="http://schemas.openxmlformats.org/officeDocument/2006/relationships/hyperlink" Target="https://fred.stlouisfed.org/series/GDP" TargetMode="External"/><Relationship Id="rId30" Type="http://schemas.openxmlformats.org/officeDocument/2006/relationships/hyperlink" Target="https://fred.stlouisfed.org/series/PERMIT" TargetMode="External"/><Relationship Id="rId35" Type="http://schemas.openxmlformats.org/officeDocument/2006/relationships/hyperlink" Target="https://fred.stlouisfed.org/series/POPTHM" TargetMode="External"/><Relationship Id="rId43" Type="http://schemas.openxmlformats.org/officeDocument/2006/relationships/hyperlink" Target="https://fred.stlouisfed.org/series/HSN1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7D0615"/>
      </a:accent1>
      <a:accent2>
        <a:srgbClr val="CC9999"/>
      </a:accent2>
      <a:accent3>
        <a:srgbClr val="336666"/>
      </a:accent3>
      <a:accent4>
        <a:srgbClr val="996666"/>
      </a:accent4>
      <a:accent5>
        <a:srgbClr val="CC6666"/>
      </a:accent5>
      <a:accent6>
        <a:srgbClr val="33336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6E50B-0F80-4D05-B07B-D0D4DC1E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1</TotalTime>
  <Pages>9</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PowerPoint Template</vt:lpstr>
    </vt:vector>
  </TitlesOfParts>
  <Company>Imagine</Company>
  <LinksUpToDate>false</LinksUpToDate>
  <CharactersWithSpaces>16917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dataman</dc:creator>
  <cp:lastModifiedBy>hp</cp:lastModifiedBy>
  <cp:revision>2</cp:revision>
  <cp:lastPrinted>2013-10-25T13:55:00Z</cp:lastPrinted>
  <dcterms:created xsi:type="dcterms:W3CDTF">2023-12-14T06:58:00Z</dcterms:created>
  <dcterms:modified xsi:type="dcterms:W3CDTF">2023-12-14T06:58:00Z</dcterms:modified>
</cp:coreProperties>
</file>