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Outlook Report - BA</w:t>
      </w:r>
    </w:p>
    <w:p>
      <w:r>
        <w:t>Perplexity Sonar Pro Model Generated: 2025-12-10</w:t>
      </w:r>
    </w:p>
    <w:p/>
    <w:p>
      <w:pPr>
        <w:pStyle w:val="Heading2"/>
      </w:pPr>
      <w:r>
        <w:t>SEC Filings Analyzed:</w:t>
      </w:r>
    </w:p>
    <w:p>
      <w:pPr>
        <w:pStyle w:val="ListBullet"/>
      </w:pPr>
      <w:r>
        <w:t>• BA_10-K_2025-02-03.html</w:t>
      </w:r>
    </w:p>
    <w:p>
      <w:pPr>
        <w:pStyle w:val="ListBullet"/>
      </w:pPr>
      <w:r>
        <w:t>• BA_10-Q_2025-10-29.html</w:t>
      </w:r>
    </w:p>
    <w:p>
      <w:pPr>
        <w:pStyle w:val="ListBullet"/>
      </w:pPr>
      <w:r>
        <w:t>• BA_8-K_2025-12-08.html</w:t>
      </w:r>
    </w:p>
    <w:p/>
    <w:p>
      <w:r>
        <w:t xml:space="preserve">Boeing (BA) is a </w:t>
      </w:r>
      <w:r>
        <w:t>commercial and defense aerospace</w:t>
      </w:r>
      <w:r>
        <w:t xml:space="preserve"> company with negative current earnings and no dividend; valuation, growth, and risk are dominated by execution on production recovery, the 777X program, and balance sheet repair.</w:t>
      </w:r>
    </w:p>
    <w:p>
      <w:pPr>
        <w:pStyle w:val="Heading3"/>
      </w:pPr>
      <w:r>
        <w:t>Key Current Metrics Table (BA – The Boeing Company)</w:t>
      </w:r>
    </w:p>
    <w:p>
      <w:r>
        <w:t>(All market/valuation figures from reputable financial data providers; fundamentals from Boeing filings. Where a figure is not directly stated in the filings, I rely on external data and therefore cannot give a page citation.)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Value</w:t>
            </w:r>
          </w:p>
        </w:tc>
        <w:tc>
          <w:tcPr>
            <w:tcW w:type="dxa" w:w="2880"/>
          </w:tcPr>
          <w:p>
            <w:r>
              <w:rPr>
                <w:b/>
              </w:rPr>
              <w:t>Source / Note</w:t>
            </w:r>
          </w:p>
        </w:tc>
      </w:tr>
      <w:tr>
        <w:tc>
          <w:tcPr>
            <w:tcW w:type="dxa" w:w="2880"/>
          </w:tcPr>
          <w:p>
            <w:r>
              <w:t>Investment category / industry</w:t>
            </w:r>
          </w:p>
        </w:tc>
        <w:tc>
          <w:tcPr>
            <w:tcW w:type="dxa" w:w="2880"/>
          </w:tcPr>
          <w:p>
            <w:r>
              <w:t>Aerospace &amp; Defense (Commercial &amp; Defense Aircraft)</w:t>
            </w:r>
          </w:p>
        </w:tc>
        <w:tc>
          <w:tcPr>
            <w:tcW w:type="dxa" w:w="2880"/>
          </w:tcPr>
          <w:p>
            <w:r>
              <w:t>Boeing 10‑K describes segments as Commercial Airplanes, Defense, Space &amp; Security, and Global Services.</w:t>
            </w:r>
          </w:p>
        </w:tc>
      </w:tr>
      <w:tr>
        <w:tc>
          <w:tcPr>
            <w:tcW w:type="dxa" w:w="2880"/>
          </w:tcPr>
          <w:p>
            <w:r>
              <w:t>P/E ratio (TTM)</w:t>
            </w:r>
          </w:p>
        </w:tc>
        <w:tc>
          <w:tcPr>
            <w:tcW w:type="dxa" w:w="2880"/>
          </w:tcPr>
          <w:p>
            <w:r>
              <w:t>Not meaningful (TTM EPS is negative; ~‑13.67 USD per share)[2][2]</w:t>
            </w:r>
          </w:p>
        </w:tc>
        <w:tc>
          <w:tcPr>
            <w:tcW w:type="dxa" w:w="2880"/>
          </w:tcPr>
          <w:p>
            <w:r>
              <w:t>TTM EPS ‑13.67 as of Sep‑2025, so a standard positive P/E cannot be computed.</w:t>
            </w:r>
          </w:p>
        </w:tc>
      </w:tr>
      <w:tr>
        <w:tc>
          <w:tcPr>
            <w:tcW w:type="dxa" w:w="2880"/>
          </w:tcPr>
          <w:p>
            <w:r>
              <w:t>ROE (%)</w:t>
            </w:r>
          </w:p>
        </w:tc>
        <w:tc>
          <w:tcPr>
            <w:tcW w:type="dxa" w:w="2880"/>
          </w:tcPr>
          <w:p>
            <w:r>
              <w:t>Not meaningful (negative equity-based returns due to net losses)</w:t>
            </w:r>
          </w:p>
        </w:tc>
        <w:tc>
          <w:tcPr>
            <w:tcW w:type="dxa" w:w="2880"/>
          </w:tcPr>
          <w:p>
            <w:r>
              <w:t>2024 and 9M‑2025 net losses imply negative ROE; detailed equity and loss in 10‑K and Q3‑2025 press release[3][3].</w:t>
            </w:r>
          </w:p>
        </w:tc>
      </w:tr>
      <w:tr>
        <w:tc>
          <w:tcPr>
            <w:tcW w:type="dxa" w:w="2880"/>
          </w:tcPr>
          <w:p>
            <w:r>
              <w:t>Dividend yield (%)</w:t>
            </w:r>
          </w:p>
        </w:tc>
        <w:tc>
          <w:tcPr>
            <w:tcW w:type="dxa" w:w="2880"/>
          </w:tcPr>
          <w:p>
            <w:r>
              <w:t>0% (no common dividend)</w:t>
            </w:r>
          </w:p>
        </w:tc>
        <w:tc>
          <w:tcPr>
            <w:tcW w:type="dxa" w:w="2880"/>
          </w:tcPr>
          <w:p>
            <w:r>
              <w:t>Boeing has suspended its dividend; 10‑K shows no common dividends paid in 2024.</w:t>
            </w:r>
          </w:p>
        </w:tc>
      </w:tr>
      <w:tr>
        <w:tc>
          <w:tcPr>
            <w:tcW w:type="dxa" w:w="2880"/>
          </w:tcPr>
          <w:p>
            <w:r>
              <w:t>Most recent annual revenue (USD billions)</w:t>
            </w:r>
          </w:p>
        </w:tc>
        <w:tc>
          <w:tcPr>
            <w:tcW w:type="dxa" w:w="2880"/>
          </w:tcPr>
          <w:p>
            <w:r>
              <w:t>66.5 billion (FY 2024)</w:t>
            </w:r>
          </w:p>
        </w:tc>
        <w:tc>
          <w:tcPr>
            <w:tcW w:type="dxa" w:w="2880"/>
          </w:tcPr>
          <w:p>
            <w:r>
              <w:t>Cited in external analysis summarizing Boeing’s FY‑2024 results[1][1]; consistent in magnitude with Boeing 2024 Form 10‑K net revenues table.</w:t>
            </w:r>
          </w:p>
        </w:tc>
      </w:tr>
      <w:tr>
        <w:tc>
          <w:tcPr>
            <w:tcW w:type="dxa" w:w="2880"/>
          </w:tcPr>
          <w:p>
            <w:r>
              <w:t>Most recent quarterly revenue (USD billions)</w:t>
            </w:r>
          </w:p>
        </w:tc>
        <w:tc>
          <w:tcPr>
            <w:tcW w:type="dxa" w:w="2880"/>
          </w:tcPr>
          <w:p>
            <w:r>
              <w:t>23.3 billion (Q3 2025)</w:t>
            </w:r>
          </w:p>
        </w:tc>
        <w:tc>
          <w:tcPr>
            <w:tcW w:type="dxa" w:w="2880"/>
          </w:tcPr>
          <w:p>
            <w:r>
              <w:t>Boeing Q3‑2025 press release: “third quarter revenue of $23.3 billion”[3][3].</w:t>
            </w:r>
          </w:p>
        </w:tc>
      </w:tr>
      <w:tr>
        <w:tc>
          <w:tcPr>
            <w:tcW w:type="dxa" w:w="2880"/>
          </w:tcPr>
          <w:p>
            <w:r>
              <w:t>Beta</w:t>
            </w:r>
          </w:p>
        </w:tc>
        <w:tc>
          <w:tcPr>
            <w:tcW w:type="dxa" w:w="2880"/>
          </w:tcPr>
          <w:p>
            <w:r>
              <w:t>~1.5–1.7 (range from major data providers)</w:t>
            </w:r>
          </w:p>
        </w:tc>
        <w:tc>
          <w:tcPr>
            <w:tcW w:type="dxa" w:w="2880"/>
          </w:tcPr>
          <w:p>
            <w:r>
              <w:t>Derived from listed-market data; not disclosed in 10‑K/10‑Q; exact figure varies slightly by source and lookback.</w:t>
            </w:r>
          </w:p>
        </w:tc>
      </w:tr>
      <w:tr>
        <w:tc>
          <w:tcPr>
            <w:tcW w:type="dxa" w:w="2880"/>
          </w:tcPr>
          <w:p>
            <w:r>
              <w:t>Analyst recommendation</w:t>
            </w:r>
          </w:p>
        </w:tc>
        <w:tc>
          <w:tcPr>
            <w:tcW w:type="dxa" w:w="2880"/>
          </w:tcPr>
          <w:p>
            <w:r>
              <w:t>Around “Hold” (consensus near neutral)</w:t>
            </w:r>
          </w:p>
        </w:tc>
        <w:tc>
          <w:tcPr>
            <w:tcW w:type="dxa" w:w="2880"/>
          </w:tcPr>
          <w:p>
            <w:r>
              <w:t>Synthesis of major equity research aggregators (consensus rating; not in SEC filings).</w:t>
            </w:r>
          </w:p>
        </w:tc>
      </w:tr>
    </w:tbl>
    <w:p/>
    <w:p>
      <w:r>
        <w:t>---</w:t>
      </w:r>
    </w:p>
    <w:p>
      <w:pPr>
        <w:pStyle w:val="Heading3"/>
      </w:pPr>
      <w:r>
        <w:t>EPS Growth, Expected EPS Growth, PEG</w:t>
      </w:r>
    </w:p>
    <w:p>
      <w:r>
        <w:t>(All growth figures are factual but *derived* from reported EPS and consensus estimates; where estimates are used, they come from reputable financial data providers, not filings.)</w:t>
      </w:r>
    </w:p>
    <w:p>
      <w:pPr>
        <w:pStyle w:val="ListBullet"/>
      </w:pPr>
      <w:r>
        <w:t>Historical EPS (GAAP)</w:t>
      </w:r>
    </w:p>
    <w:p>
      <w:pPr>
        <w:pStyle w:val="ListBullet"/>
      </w:pPr>
      <w:r>
        <w:t xml:space="preserve">2023 EPS: </w:t>
      </w:r>
      <w:r>
        <w:t>‑3.67 USD</w:t>
      </w:r>
      <w:r>
        <w:t>[2][2].</w:t>
      </w:r>
    </w:p>
    <w:p>
      <w:pPr>
        <w:pStyle w:val="ListBullet"/>
      </w:pPr>
      <w:r>
        <w:t xml:space="preserve">2024 EPS: </w:t>
      </w:r>
      <w:r>
        <w:t>‑18.36 USD</w:t>
      </w:r>
      <w:r>
        <w:t>[2][2].</w:t>
      </w:r>
    </w:p>
    <w:p>
      <w:pPr>
        <w:pStyle w:val="ListBullet"/>
      </w:pPr>
      <w:r>
        <w:t xml:space="preserve">TTM EPS as of Sep‑30‑2025: </w:t>
      </w:r>
      <w:r>
        <w:t>‑13.67 USD</w:t>
      </w:r>
      <w:r>
        <w:t>[2][2].</w:t>
      </w:r>
    </w:p>
    <w:p>
      <w:pPr>
        <w:pStyle w:val="ListBullet"/>
      </w:pPr>
      <w:r>
        <w:t>Observed EPS growth</w:t>
      </w:r>
    </w:p>
    <w:p>
      <w:pPr>
        <w:pStyle w:val="ListBullet"/>
      </w:pPr>
      <w:r>
        <w:t>2023 → 2024: EPS declined from ‑3.67 to ‑18.36 (a deterioration; % growth not economically meaningful because both are negative)[2][2].</w:t>
      </w:r>
    </w:p>
    <w:p>
      <w:pPr>
        <w:pStyle w:val="ListBullet"/>
      </w:pPr>
      <w:r>
        <w:t>Last 12 months YoY (quarterly basis): data provider notes “EPS growth of 28.4%” based on less‑negative quarterly EPS YoY[2][2], but absolute EPS remains negative.</w:t>
      </w:r>
    </w:p>
    <w:p>
      <w:pPr>
        <w:pStyle w:val="ListBullet"/>
      </w:pPr>
      <w:r>
        <w:t>Expected EPS growth (consensus)</w:t>
      </w:r>
    </w:p>
    <w:p>
      <w:pPr>
        <w:pStyle w:val="ListBullet"/>
      </w:pPr>
      <w:r>
        <w:t>Street consensus (major aggregators) generally expects:</w:t>
      </w:r>
    </w:p>
    <w:p>
      <w:pPr>
        <w:pStyle w:val="ListBullet"/>
      </w:pPr>
      <w:r>
        <w:t>2025 EPS still negative.</w:t>
      </w:r>
    </w:p>
    <w:p>
      <w:pPr>
        <w:pStyle w:val="ListBullet"/>
      </w:pPr>
      <w:r>
        <w:t>First positive full‑year EPS in 2026</w:t>
      </w:r>
      <w:r>
        <w:t>, with mid‑single‑digit USD EPS, then growth thereafter[1][1].</w:t>
      </w:r>
    </w:p>
    <w:p>
      <w:pPr>
        <w:pStyle w:val="ListBullet"/>
      </w:pPr>
      <w:r>
        <w:t>Boeing’s own 2026 *illustrative* outlook (not formal guidance) cited in analysis: revenue ~80B, EPS ~3.50 USD in 2026[1][1]. This is directional, not a binding target.</w:t>
      </w:r>
    </w:p>
    <w:p>
      <w:r>
        <w:t>PEG ratio</w:t>
      </w:r>
    </w:p>
    <w:p>
      <w:r>
        <w:t xml:space="preserve">Because (a) </w:t>
      </w:r>
      <w:r>
        <w:t>current EPS is negative</w:t>
      </w:r>
      <w:r>
        <w:t xml:space="preserve"> and (b) forward growth estimates differ by source, any PEG derived for BA is </w:t>
      </w:r>
      <w:r>
        <w:t>not robust</w:t>
      </w:r>
      <w:r>
        <w:t>. Using standard PEG \(=\frac{\text{Forward P/E}}{\text{Long‑term EPS growth%}}\) is not meaningful while EPS is negative in the base year.</w:t>
      </w:r>
    </w:p>
    <w:p>
      <w:r>
        <w:t>---</w:t>
      </w:r>
    </w:p>
    <w:p>
      <w:pPr>
        <w:pStyle w:val="Heading2"/>
      </w:pPr>
      <w:r>
        <w:t>13-Point Analysis</w:t>
      </w:r>
    </w:p>
    <w:p>
      <w:pPr>
        <w:pStyle w:val="Heading3"/>
      </w:pPr>
      <w:r>
        <w:t>Executive Summary</w:t>
      </w:r>
    </w:p>
    <w:p>
      <w:r>
        <w:t xml:space="preserve">Boeing designs, manufactures, and services commercial jetliners and defense, space, and security systems, and provides related aftermarket and support services worldwide. It operates through three main segments: </w:t>
      </w:r>
      <w:r>
        <w:t>Commercial Airplanes</w:t>
      </w:r>
      <w:r>
        <w:t xml:space="preserve">, </w:t>
      </w:r>
      <w:r>
        <w:t>Defense, Space &amp; Security</w:t>
      </w:r>
      <w:r>
        <w:t xml:space="preserve">, and </w:t>
      </w:r>
      <w:r>
        <w:t>Global Services</w:t>
      </w:r>
      <w:r>
        <w:t xml:space="preserve">. The business is underpinned by a very large multi‑year backlog (over </w:t>
      </w:r>
      <w:r>
        <w:t>$636 billion</w:t>
      </w:r>
      <w:r>
        <w:t xml:space="preserve"> at Q3‑2025, including more than 5,900 commercial aircraft) that provides long‑term visibility but requires significant execution to convert into cash[3][3][1][1]. Economic quality historically was strong, but recent years have seen deep operating losses, negative free cash flow, and margin pressure, driven by 737 MAX issues, supply‑chain disruptions, and cost growth on fixed‑price defense programs[3][3]. </w:t>
      </w:r>
    </w:p>
    <w:p>
      <w:r>
        <w:t>Boeing’s potential edge lies in its duopoly with Airbus in large commercial jets, entrenched defense positions, and a high‑margin services franchise[1][1]. However, safety, certification, and production‑quality concerns, the 777X delay (now to 2027), and a leveraged balance sheet represent key risks to equity holders[1][1][3][3]. The equity case relies on a multi‑year recovery in deliveries, margins, and cash generation while managing program and regulatory risk.</w:t>
      </w:r>
    </w:p>
    <w:p>
      <w:r>
        <w:t xml:space="preserve">In one line: </w:t>
      </w:r>
      <w:r>
        <w:t>Boeing is a global aerospace manufacturer whose equity is a levered bet on successful execution of a multi‑year recovery from safety, program, and balance‑sheet challenges.</w:t>
      </w:r>
    </w:p>
    <w:p>
      <w:r>
        <w:t>---</w:t>
      </w:r>
    </w:p>
    <w:p>
      <w:r>
        <w:rPr>
          <w:b/>
          <w:color w:val="00008B"/>
          <w:sz w:val="28"/>
        </w:rPr>
        <w:t>1. What They Sell and Who Buys</w:t>
      </w:r>
    </w:p>
    <w:p>
      <w:r>
        <w:rPr>
          <w:b/>
        </w:rPr>
        <w:t>Main products and services</w:t>
      </w:r>
    </w:p>
    <w:p>
      <w:pPr>
        <w:pStyle w:val="ListBullet"/>
      </w:pPr>
      <w:r>
        <w:t>Large commercial jetliners</w:t>
      </w:r>
      <w:r>
        <w:t xml:space="preserve"> (e.g., 737, 777/777X, 787 families) sold primarily to airlines and leasing companies.</w:t>
      </w:r>
    </w:p>
    <w:p>
      <w:pPr>
        <w:pStyle w:val="ListBullet"/>
      </w:pPr>
      <w:r>
        <w:t>Defense, space, and security platforms</w:t>
      </w:r>
      <w:r>
        <w:t>, including military aircraft (e.g., KC‑46 tanker, T‑7A trainer, MQ‑25), rotorcraft, satellites, and space systems for government customers.</w:t>
      </w:r>
    </w:p>
    <w:p>
      <w:pPr>
        <w:pStyle w:val="ListBullet"/>
      </w:pPr>
      <w:r>
        <w:t>Global services</w:t>
      </w:r>
      <w:r>
        <w:t>, such as maintenance, parts, modifications, training, digital aviation solutions, and logistics support for both commercial and defense fleets.</w:t>
      </w:r>
    </w:p>
    <w:p>
      <w:r>
        <w:rPr>
          <w:b/>
        </w:rPr>
        <w:t>Target customers and why they buy</w:t>
      </w:r>
    </w:p>
    <w:p>
      <w:pPr>
        <w:pStyle w:val="ListBullet"/>
      </w:pPr>
      <w:r>
        <w:t>Commercial airlines and lessors worldwide</w:t>
      </w:r>
      <w:r>
        <w:t>, seeking fuel‑efficient aircraft to meet passenger and cargo demand and replace aging fleets[1][1].</w:t>
      </w:r>
    </w:p>
    <w:p>
      <w:pPr>
        <w:pStyle w:val="ListBullet"/>
      </w:pPr>
      <w:r>
        <w:t>U.S. Department of Defense and allied governments</w:t>
      </w:r>
      <w:r>
        <w:t>, buying for national security, tanker/transport capacity, fighter/trainer aircraft, and space capabilities.</w:t>
      </w:r>
    </w:p>
    <w:p>
      <w:pPr>
        <w:pStyle w:val="ListBullet"/>
      </w:pPr>
      <w:r>
        <w:t>Fleet operators and militaries using Boeing aircraft</w:t>
      </w:r>
      <w:r>
        <w:t>, purchasing services to maximize uptime, extend asset life, and reduce lifecycle costs.</w:t>
      </w:r>
    </w:p>
    <w:p>
      <w:pPr>
        <w:pStyle w:val="ListBullet"/>
      </w:pPr>
      <w:r>
        <w:t xml:space="preserve">Demand is driven by </w:t>
      </w:r>
      <w:r>
        <w:t>air traffic growth</w:t>
      </w:r>
      <w:r>
        <w:t>, fleet renewal, defense budgets, and mission‑critical requirements, with pain points around fuel efficiency, reliability, and mission readiness[1][1].</w:t>
      </w:r>
    </w:p>
    <w:p>
      <w:r>
        <w:t>---</w:t>
      </w:r>
    </w:p>
    <w:p>
      <w:r>
        <w:rPr>
          <w:b/>
          <w:color w:val="00008B"/>
          <w:sz w:val="28"/>
        </w:rPr>
        <w:t>2. How They Make Money</w:t>
      </w:r>
    </w:p>
    <w:p>
      <w:r>
        <w:rPr>
          <w:b/>
        </w:rPr>
        <w:t>Revenue model and pricing logic</w:t>
      </w:r>
    </w:p>
    <w:p>
      <w:r>
        <w:t xml:space="preserve">Revenue is primarily from </w:t>
      </w:r>
      <w:r>
        <w:t>sale of aircraft and defense systems</w:t>
      </w:r>
      <w:r>
        <w:t xml:space="preserve"> under long‑term contracts; pricing reflects list prices minus negotiated discounts, along with cost‑plus or fixed‑price defense contracts.</w:t>
      </w:r>
    </w:p>
    <w:p>
      <w:r>
        <w:t xml:space="preserve">Services revenue comes from </w:t>
      </w:r>
      <w:r>
        <w:t>time‑and‑materials, fixed‑price, and long‑term support agreements</w:t>
      </w:r>
      <w:r>
        <w:t>, including parts, maintenance, modifications, and digital products.</w:t>
      </w:r>
    </w:p>
    <w:p>
      <w:r>
        <w:rPr>
          <w:b/>
        </w:rPr>
        <w:t>Revenue type (one‑time vs recurring)</w:t>
      </w:r>
    </w:p>
    <w:p>
      <w:r>
        <w:t>Aircraft and major platform deliveries</w:t>
      </w:r>
      <w:r>
        <w:t xml:space="preserve"> are largely </w:t>
      </w:r>
      <w:r>
        <w:t>one‑time, high‑value transactions</w:t>
      </w:r>
      <w:r>
        <w:t xml:space="preserve"> recognized over time or at delivery depending on contract structure.</w:t>
      </w:r>
    </w:p>
    <w:p>
      <w:r>
        <w:t>Services contracts</w:t>
      </w:r>
      <w:r>
        <w:t xml:space="preserve"> provide more </w:t>
      </w:r>
      <w:r>
        <w:t>recurring, annuity‑like revenue</w:t>
      </w:r>
      <w:r>
        <w:t xml:space="preserve"> tied to fleet utilization and long‑term support deals.</w:t>
      </w:r>
    </w:p>
    <w:p>
      <w:r>
        <w:rPr>
          <w:b/>
        </w:rPr>
        <w:t>Key segments and mix</w:t>
      </w:r>
    </w:p>
    <w:p>
      <w:r>
        <w:t xml:space="preserve">2024 revenues were generated across </w:t>
      </w:r>
      <w:r>
        <w:t>Commercial Airplanes, Defense, Space &amp; Security, and Global Services</w:t>
      </w:r>
      <w:r>
        <w:t>; the services segment carries structurally higher margins[1][1].</w:t>
      </w:r>
    </w:p>
    <w:p>
      <w:r>
        <w:t xml:space="preserve">Recent analysis shows Global Services operating margins around </w:t>
      </w:r>
      <w:r>
        <w:t>18–20%</w:t>
      </w:r>
      <w:r>
        <w:t>, versus negative margins in Commercial Airplanes and low single‑digit positive margins in Defense[1][1][3][3].</w:t>
      </w:r>
    </w:p>
    <w:p>
      <w:r>
        <w:t>---</w:t>
      </w:r>
    </w:p>
    <w:p>
      <w:r>
        <w:rPr>
          <w:b/>
          <w:color w:val="00008B"/>
          <w:sz w:val="28"/>
        </w:rPr>
        <w:t>3. Revenue Quality</w:t>
      </w:r>
    </w:p>
    <w:p>
      <w:r>
        <w:rPr>
          <w:b/>
        </w:rPr>
        <w:t>Predictability and diversification</w:t>
      </w:r>
    </w:p>
    <w:p>
      <w:pPr>
        <w:pStyle w:val="ListBullet"/>
      </w:pPr>
      <w:r>
        <w:t xml:space="preserve">Revenue is </w:t>
      </w:r>
      <w:r>
        <w:t>cyclical</w:t>
      </w:r>
      <w:r>
        <w:t xml:space="preserve"> and sensitive to global air traffic, airline profitability, and defense budgets.</w:t>
      </w:r>
    </w:p>
    <w:p>
      <w:pPr>
        <w:pStyle w:val="ListBullet"/>
      </w:pPr>
      <w:r>
        <w:t xml:space="preserve">The </w:t>
      </w:r>
      <w:r>
        <w:t>backlog</w:t>
      </w:r>
      <w:r>
        <w:t xml:space="preserve"> of </w:t>
      </w:r>
      <w:r>
        <w:t>$636 billion</w:t>
      </w:r>
      <w:r>
        <w:t xml:space="preserve"> at Q3‑2025 (over 5,900 aircraft) provides multi‑year visibility but is subject to schedule and execution risk[3][3][1][1].</w:t>
      </w:r>
    </w:p>
    <w:p>
      <w:pPr>
        <w:pStyle w:val="ListBullet"/>
      </w:pPr>
      <w:r>
        <w:t>Sales are globally diversified across regions and customer types (commercial vs government).</w:t>
      </w:r>
    </w:p>
    <w:p>
      <w:r>
        <w:rPr>
          <w:b/>
        </w:rPr>
        <w:t>Recurring vs one‑off; concentration and cyclicality</w:t>
      </w:r>
    </w:p>
    <w:p>
      <w:pPr>
        <w:pStyle w:val="ListBullet"/>
      </w:pPr>
      <w:r>
        <w:t xml:space="preserve">A meaningful share of revenue comes from </w:t>
      </w:r>
      <w:r>
        <w:t>non‑recurring aircraft/system sales</w:t>
      </w:r>
      <w:r>
        <w:t>, which can be lumpy by program and year.</w:t>
      </w:r>
    </w:p>
    <w:p>
      <w:pPr>
        <w:pStyle w:val="ListBullet"/>
      </w:pPr>
      <w:r>
        <w:t xml:space="preserve">Services provide </w:t>
      </w:r>
      <w:r>
        <w:t>more recurring cash flows</w:t>
      </w:r>
      <w:r>
        <w:t>, but are still linked to flight activity and defense operations[1][1].</w:t>
      </w:r>
    </w:p>
    <w:p>
      <w:pPr>
        <w:pStyle w:val="ListBullet"/>
      </w:pPr>
      <w:r>
        <w:t xml:space="preserve">Customer concentration exists in both </w:t>
      </w:r>
      <w:r>
        <w:t>major airlines</w:t>
      </w:r>
      <w:r>
        <w:t xml:space="preserve"> and the </w:t>
      </w:r>
      <w:r>
        <w:t>U.S. government</w:t>
      </w:r>
      <w:r>
        <w:t xml:space="preserve"> (significant share of Defense segment revenue).</w:t>
      </w:r>
    </w:p>
    <w:p>
      <w:pPr>
        <w:pStyle w:val="ListBullet"/>
      </w:pPr>
      <w:r>
        <w:t>Exposure to economic cycles, fuel prices, and travel demand is high on the commercial side; defense has different, budget‑driven cyclicality.</w:t>
      </w:r>
    </w:p>
    <w:p>
      <w:r>
        <w:t>---</w:t>
      </w:r>
    </w:p>
    <w:p>
      <w:r>
        <w:rPr>
          <w:b/>
          <w:color w:val="00008B"/>
          <w:sz w:val="28"/>
        </w:rPr>
        <w:t>4. Cost Structure</w:t>
      </w:r>
    </w:p>
    <w:p>
      <w:r>
        <w:rPr>
          <w:b/>
        </w:rPr>
        <w:t>Major cost drivers</w:t>
      </w:r>
    </w:p>
    <w:p>
      <w:pPr>
        <w:pStyle w:val="ListBullet"/>
      </w:pPr>
      <w:r>
        <w:t>Cost of sales</w:t>
      </w:r>
      <w:r>
        <w:t>, including materials, labor, and overhead in manufacturing aircraft and systems, is the largest expense.</w:t>
      </w:r>
    </w:p>
    <w:p>
      <w:pPr>
        <w:pStyle w:val="ListBullet"/>
      </w:pPr>
      <w:r>
        <w:t>Program‑level cost growth and charges</w:t>
      </w:r>
      <w:r>
        <w:t xml:space="preserve"> (e.g., 777X, KC‑46, T‑7A, MQ‑25, Commercial Crew) have driven large write‑downs[3][3].</w:t>
      </w:r>
    </w:p>
    <w:p>
      <w:pPr>
        <w:pStyle w:val="ListBullet"/>
      </w:pPr>
      <w:r>
        <w:t xml:space="preserve">Other significant costs include </w:t>
      </w:r>
      <w:r>
        <w:t>R&amp;D, general and administrative expense, and pension/post‑retirement obligations</w:t>
      </w:r>
      <w:r>
        <w:t>[3][3].</w:t>
      </w:r>
    </w:p>
    <w:p>
      <w:r>
        <w:rPr>
          <w:b/>
        </w:rPr>
        <w:t>Margins</w:t>
      </w:r>
    </w:p>
    <w:p>
      <w:pPr>
        <w:pStyle w:val="ListBullet"/>
      </w:pPr>
      <w:r>
        <w:t xml:space="preserve">FY‑2024 showed </w:t>
      </w:r>
      <w:r>
        <w:t>negative operating margins</w:t>
      </w:r>
      <w:r>
        <w:t xml:space="preserve"> at the consolidated level, with a net loss of about </w:t>
      </w:r>
      <w:r>
        <w:t>$11.8 billion</w:t>
      </w:r>
      <w:r>
        <w:t xml:space="preserve"> on $66.5B revenue[1][1].</w:t>
      </w:r>
    </w:p>
    <w:p>
      <w:pPr>
        <w:pStyle w:val="ListBullet"/>
      </w:pPr>
      <w:r>
        <w:t xml:space="preserve">Q3‑2025 GAAP </w:t>
      </w:r>
      <w:r>
        <w:t>operating margin was ‑20.5%</w:t>
      </w:r>
      <w:r>
        <w:t>, with a core (non‑GAAP) operating margin of ‑21.7%[3][3].</w:t>
      </w:r>
    </w:p>
    <w:p>
      <w:pPr>
        <w:pStyle w:val="ListBullet"/>
      </w:pPr>
      <w:r>
        <w:t>Global Services margin is high‑teens; Commercial and some Defense programs remain loss‑making[1][1][3][3].</w:t>
      </w:r>
    </w:p>
    <w:p>
      <w:r>
        <w:rPr>
          <w:b/>
        </w:rPr>
        <w:t>Scalability and margin behavior</w:t>
      </w:r>
    </w:p>
    <w:p>
      <w:r>
        <w:t xml:space="preserve">High </w:t>
      </w:r>
      <w:r>
        <w:t>fixed‑cost base</w:t>
      </w:r>
      <w:r>
        <w:t xml:space="preserve"> (plants, engineering, tooling) implies strong operating leverage if volumes normalize; conversely, weak volumes drive large losses[1][1].</w:t>
      </w:r>
    </w:p>
    <w:p>
      <w:r>
        <w:t xml:space="preserve">Margins are highly sensitive to </w:t>
      </w:r>
      <w:r>
        <w:t>production rates, learning curves, and program accounting assumptions</w:t>
      </w:r>
      <w:r>
        <w:t>.</w:t>
      </w:r>
    </w:p>
    <w:p>
      <w:r>
        <w:t>---</w:t>
      </w:r>
    </w:p>
    <w:p>
      <w:r>
        <w:rPr>
          <w:b/>
          <w:color w:val="00008B"/>
          <w:sz w:val="28"/>
        </w:rPr>
        <w:t>5. Capital Intensity</w:t>
      </w:r>
    </w:p>
    <w:p>
      <w:r>
        <w:rPr>
          <w:b/>
        </w:rPr>
        <w:t>Assets to run and grow operations</w:t>
      </w:r>
    </w:p>
    <w:p>
      <w:r>
        <w:t xml:space="preserve">Boeing is </w:t>
      </w:r>
      <w:r>
        <w:t>highly capital‑intensive</w:t>
      </w:r>
      <w:r>
        <w:t xml:space="preserve">, requiring large investments in </w:t>
      </w:r>
      <w:r>
        <w:t>property, plant &amp; equipment</w:t>
      </w:r>
      <w:r>
        <w:t>, tooling, and inventory/program assets.</w:t>
      </w:r>
    </w:p>
    <w:p>
      <w:r>
        <w:t xml:space="preserve">Significant </w:t>
      </w:r>
      <w:r>
        <w:t>inventory and work‑in‑process</w:t>
      </w:r>
      <w:r>
        <w:t xml:space="preserve"> accumulates on long‑cycle programs (commercial aircraft and defense).</w:t>
      </w:r>
    </w:p>
    <w:p>
      <w:r>
        <w:rPr>
          <w:b/>
        </w:rPr>
        <w:t>Capex, working capital, cash conversion</w:t>
      </w:r>
    </w:p>
    <w:p>
      <w:pPr>
        <w:pStyle w:val="ListBullet"/>
      </w:pPr>
      <w:r>
        <w:t xml:space="preserve">External analysis notes </w:t>
      </w:r>
      <w:r>
        <w:t>capex around $0.9B per quarter</w:t>
      </w:r>
      <w:r>
        <w:t xml:space="preserve"> recently[1][1].</w:t>
      </w:r>
    </w:p>
    <w:p>
      <w:pPr>
        <w:pStyle w:val="ListBullet"/>
      </w:pPr>
      <w:r>
        <w:t xml:space="preserve">Cash conversion has been weak: FY‑2024 </w:t>
      </w:r>
      <w:r>
        <w:t>operating cash flow was ‑$12.1B</w:t>
      </w:r>
      <w:r>
        <w:t xml:space="preserve"> and free cash flow negative[1][1].</w:t>
      </w:r>
    </w:p>
    <w:p>
      <w:pPr>
        <w:pStyle w:val="ListBullet"/>
      </w:pPr>
      <w:r>
        <w:t xml:space="preserve">Q3‑2025 saw </w:t>
      </w:r>
      <w:r>
        <w:t>operating cash flow of $1.1B and free cash flow of $0.2B</w:t>
      </w:r>
      <w:r>
        <w:t xml:space="preserve">, but year‑to‑date 2025 FCF remained negative </w:t>
      </w:r>
      <w:r>
        <w:t>(‑$2.25B)</w:t>
      </w:r>
      <w:r>
        <w:t>, reflecting slow recovery[3][3][1][1].</w:t>
      </w:r>
    </w:p>
    <w:p>
      <w:r>
        <w:t>---</w:t>
      </w:r>
    </w:p>
    <w:p>
      <w:r>
        <w:rPr>
          <w:b/>
          <w:color w:val="00008B"/>
          <w:sz w:val="28"/>
        </w:rPr>
        <w:t>6. Growth Drivers</w:t>
      </w:r>
    </w:p>
    <w:p>
      <w:r>
        <w:rPr>
          <w:b/>
        </w:rPr>
        <w:t>Main growth levers</w:t>
      </w:r>
    </w:p>
    <w:p>
      <w:pPr>
        <w:pStyle w:val="ListBullet"/>
      </w:pPr>
      <w:r>
        <w:t>Commercial delivery volume</w:t>
      </w:r>
      <w:r>
        <w:t xml:space="preserve"> increases, particularly in 737 and 787 narrow‑ and wide‑body families, as supply chains stabilize and regulatory constraints ease[1][1].</w:t>
      </w:r>
    </w:p>
    <w:p>
      <w:pPr>
        <w:pStyle w:val="ListBullet"/>
      </w:pPr>
      <w:r>
        <w:t>Introduction and ramp‑up of the 777X</w:t>
      </w:r>
      <w:r>
        <w:t>, once certified and delivered (currently delayed to 2027)[1][1].</w:t>
      </w:r>
    </w:p>
    <w:p>
      <w:pPr>
        <w:pStyle w:val="ListBullet"/>
      </w:pPr>
      <w:r>
        <w:t>Aftermarket services growth</w:t>
      </w:r>
      <w:r>
        <w:t>, including parts, modifications, digital solutions and analytics, as installed base grows[1][1].</w:t>
      </w:r>
    </w:p>
    <w:p>
      <w:pPr>
        <w:pStyle w:val="ListBullet"/>
      </w:pPr>
      <w:r>
        <w:t>Defense and space programs</w:t>
      </w:r>
      <w:r>
        <w:t>, including tanker, trainer, unmanned systems, and classified work, subject to contract wins and cost control.</w:t>
      </w:r>
    </w:p>
    <w:p>
      <w:r>
        <w:rPr>
          <w:b/>
        </w:rPr>
        <w:t>Structural vs cyclical</w:t>
      </w:r>
    </w:p>
    <w:p>
      <w:r>
        <w:t xml:space="preserve">Global air travel growth and fleet renewal are </w:t>
      </w:r>
      <w:r>
        <w:t>structural</w:t>
      </w:r>
      <w:r>
        <w:t>, supporting long‑term demand for aircraft and services[1][1].</w:t>
      </w:r>
    </w:p>
    <w:p>
      <w:r>
        <w:t xml:space="preserve">Short‑ to medium‑term growth is constrained by </w:t>
      </w:r>
      <w:r>
        <w:t>program execution, certification, and supply‑chain recovery</w:t>
      </w:r>
      <w:r>
        <w:t xml:space="preserve">, which are more </w:t>
      </w:r>
      <w:r>
        <w:t>situational and cyclical</w:t>
      </w:r>
      <w:r>
        <w:t>.</w:t>
      </w:r>
    </w:p>
    <w:p>
      <w:r>
        <w:t>---</w:t>
      </w:r>
    </w:p>
    <w:p>
      <w:r>
        <w:rPr>
          <w:b/>
          <w:color w:val="00008B"/>
          <w:sz w:val="28"/>
        </w:rPr>
        <w:t>7. Competitive Edge</w:t>
      </w:r>
    </w:p>
    <w:p>
      <w:r>
        <w:rPr>
          <w:b/>
        </w:rPr>
        <w:t>Competitive advantages / moat</w:t>
      </w:r>
    </w:p>
    <w:p>
      <w:pPr>
        <w:pStyle w:val="ListBullet"/>
      </w:pPr>
      <w:r>
        <w:t>Duopoly</w:t>
      </w:r>
      <w:r>
        <w:t xml:space="preserve"> with Airbus in large commercial aircraft, creating high barriers to entry due to certification, capital requirements, and technical complexity.</w:t>
      </w:r>
    </w:p>
    <w:p>
      <w:pPr>
        <w:pStyle w:val="ListBullet"/>
      </w:pPr>
      <w:r>
        <w:t>Long‑term customer relationships</w:t>
      </w:r>
      <w:r>
        <w:t xml:space="preserve"> with airlines and governments, and embedded aircraft fleets that drive services demand.</w:t>
      </w:r>
    </w:p>
    <w:p>
      <w:pPr>
        <w:pStyle w:val="ListBullet"/>
      </w:pPr>
      <w:r>
        <w:t>Intellectual property and engineering know‑how in aerostructures, avionics integration, and systems design.</w:t>
      </w:r>
    </w:p>
    <w:p>
      <w:r>
        <w:rPr>
          <w:b/>
        </w:rPr>
        <w:t>Durability and financial evidence</w:t>
      </w:r>
    </w:p>
    <w:p>
      <w:pPr>
        <w:pStyle w:val="ListBullet"/>
      </w:pPr>
      <w:r>
        <w:t xml:space="preserve">Historically, Boeing generated strong </w:t>
      </w:r>
      <w:r>
        <w:t>returns on capital</w:t>
      </w:r>
      <w:r>
        <w:t xml:space="preserve"> and solid margins pre‑crisis, suggesting economic advantages; recent ROE is negative due to exceptional issues.</w:t>
      </w:r>
    </w:p>
    <w:p>
      <w:pPr>
        <w:pStyle w:val="ListBullet"/>
      </w:pPr>
      <w:r>
        <w:t xml:space="preserve">Persistent </w:t>
      </w:r>
      <w:r>
        <w:t>losses and large charges</w:t>
      </w:r>
      <w:r>
        <w:t xml:space="preserve"> in recent years show the moat is not immune to self‑inflicted execution and safety problems[3][3].</w:t>
      </w:r>
    </w:p>
    <w:p>
      <w:pPr>
        <w:pStyle w:val="ListBullet"/>
      </w:pPr>
      <w:r>
        <w:t xml:space="preserve">The durability of the moat rests on Boeing restoring </w:t>
      </w:r>
      <w:r>
        <w:t>safety reputation, production reliability, and program discipline</w:t>
      </w:r>
      <w:r>
        <w:t>; current financials do not yet reflect a fully restored franchise.</w:t>
      </w:r>
    </w:p>
    <w:p>
      <w:r>
        <w:t>---</w:t>
      </w:r>
    </w:p>
    <w:p>
      <w:r>
        <w:rPr>
          <w:b/>
          <w:color w:val="00008B"/>
          <w:sz w:val="28"/>
        </w:rPr>
        <w:t>8. Industry Structure and Position</w:t>
      </w:r>
    </w:p>
    <w:p>
      <w:r>
        <w:rPr>
          <w:b/>
        </w:rPr>
        <w:t>Industry value chain and profit pools</w:t>
      </w:r>
    </w:p>
    <w:p>
      <w:r>
        <w:t xml:space="preserve">In commercial aerospace, value is created by </w:t>
      </w:r>
      <w:r>
        <w:t>OEMs</w:t>
      </w:r>
      <w:r>
        <w:t xml:space="preserve"> (Boeing, Airbus), key suppliers (e.g., aero‑structures, engines), and aftermarket service providers. OEMs capture profits through aircraft sales and a share of lifecycle services[1][1].</w:t>
      </w:r>
    </w:p>
    <w:p>
      <w:r>
        <w:t>In defense, prime contractors integrate systems and manage programs, sharing economics with subs and component suppliers.</w:t>
      </w:r>
    </w:p>
    <w:p>
      <w:r>
        <w:rPr>
          <w:b/>
        </w:rPr>
        <w:t>Market structure, pricing power, regulation</w:t>
      </w:r>
    </w:p>
    <w:p>
      <w:r>
        <w:t xml:space="preserve">The large jet market is a </w:t>
      </w:r>
      <w:r>
        <w:t>global duopoly</w:t>
      </w:r>
      <w:r>
        <w:t>, which historically supports pricing power, but competitive discounting and customer concentration remain.</w:t>
      </w:r>
    </w:p>
    <w:p>
      <w:r>
        <w:t xml:space="preserve">The industry is heavily </w:t>
      </w:r>
      <w:r>
        <w:t>regulated</w:t>
      </w:r>
      <w:r>
        <w:t xml:space="preserve"> (FAA, EASA, defense procurement rules); certification and compliance are critical and can affect production rates and costs[1][1].</w:t>
      </w:r>
    </w:p>
    <w:p>
      <w:r>
        <w:rPr>
          <w:b/>
        </w:rPr>
        <w:t>Boeing’s position</w:t>
      </w:r>
    </w:p>
    <w:p>
      <w:pPr>
        <w:pStyle w:val="ListBullet"/>
      </w:pPr>
      <w:r>
        <w:t xml:space="preserve">Boeing is one of the </w:t>
      </w:r>
      <w:r>
        <w:t>two global commercial OEMs</w:t>
      </w:r>
      <w:r>
        <w:t xml:space="preserve"> and a major U.S. defense prime contractor.</w:t>
      </w:r>
    </w:p>
    <w:p>
      <w:pPr>
        <w:pStyle w:val="ListBullet"/>
      </w:pPr>
      <w:r>
        <w:t>Market share has been pressured by Airbus gains, especially in narrow‑body aircraft, but Boeing retains significant installed base and backlog[1][1].</w:t>
      </w:r>
    </w:p>
    <w:p>
      <w:pPr>
        <w:pStyle w:val="ListBullet"/>
      </w:pPr>
      <w:r>
        <w:t xml:space="preserve">In pricing, Boeing is a </w:t>
      </w:r>
      <w:r>
        <w:t>price‑influencer but not unconstrained price‑setter</w:t>
      </w:r>
      <w:r>
        <w:t>, given Airbus competition and powerful airline customers.</w:t>
      </w:r>
    </w:p>
    <w:p>
      <w:r>
        <w:t>---</w:t>
      </w:r>
    </w:p>
    <w:p>
      <w:r>
        <w:rPr>
          <w:b/>
          <w:color w:val="00008B"/>
          <w:sz w:val="28"/>
        </w:rPr>
        <w:t>9. Unit Economics and Key KPIs</w:t>
      </w:r>
    </w:p>
    <w:p>
      <w:r>
        <w:rPr>
          <w:b/>
        </w:rPr>
        <w:t>Unit economics level</w:t>
      </w:r>
    </w:p>
    <w:p>
      <w:r>
        <w:t xml:space="preserve">At the </w:t>
      </w:r>
      <w:r>
        <w:t>program/aircraft level</w:t>
      </w:r>
      <w:r>
        <w:t>, economics depend on learning curves, production rates, and program accounting blocks.</w:t>
      </w:r>
    </w:p>
    <w:p>
      <w:r>
        <w:t xml:space="preserve">Reported data highlight </w:t>
      </w:r>
      <w:r>
        <w:t>program margins</w:t>
      </w:r>
      <w:r>
        <w:t xml:space="preserve"> (positive or negative) rather than per‑unit disclosure.</w:t>
      </w:r>
    </w:p>
    <w:p>
      <w:r>
        <w:rPr>
          <w:b/>
        </w:rPr>
        <w:t>Key KPIs</w:t>
      </w:r>
    </w:p>
    <w:p>
      <w:pPr>
        <w:pStyle w:val="ListBullet"/>
      </w:pPr>
      <w:r>
        <w:t>Aircraft deliveries</w:t>
      </w:r>
      <w:r>
        <w:t xml:space="preserve"> (e.g., 150 in Q2‑2025, 160 in Q3‑2025, highest since 2018) are core volume KPIs[1][1][3][3].</w:t>
      </w:r>
    </w:p>
    <w:p>
      <w:pPr>
        <w:pStyle w:val="ListBullet"/>
      </w:pPr>
      <w:r>
        <w:t>Segment operating margins</w:t>
      </w:r>
      <w:r>
        <w:t>, especially for Commercial Airplanes and Global Services, track unit profitability[1][1][3][3].</w:t>
      </w:r>
    </w:p>
    <w:p>
      <w:pPr>
        <w:pStyle w:val="ListBullet"/>
      </w:pPr>
      <w:r>
        <w:t>Backlog value and aircraft count</w:t>
      </w:r>
      <w:r>
        <w:t>, and cash flow metrics (operating cash flow, free cash flow) are watched closely[1][1][3][3].</w:t>
      </w:r>
    </w:p>
    <w:p>
      <w:r>
        <w:rPr>
          <w:b/>
        </w:rPr>
        <w:t>Trend assessment</w:t>
      </w:r>
    </w:p>
    <w:p>
      <w:pPr>
        <w:pStyle w:val="ListBullet"/>
      </w:pPr>
      <w:r>
        <w:t xml:space="preserve">Deliveries and commercial revenue have </w:t>
      </w:r>
      <w:r>
        <w:t>improved sharply YoY</w:t>
      </w:r>
      <w:r>
        <w:t xml:space="preserve"> in 2025, but Commercial remains loss‑making and consolidated EPS is negative[1][1][3][3].</w:t>
      </w:r>
    </w:p>
    <w:p>
      <w:pPr>
        <w:pStyle w:val="ListBullet"/>
      </w:pPr>
      <w:r>
        <w:t xml:space="preserve">Global Services margins are </w:t>
      </w:r>
      <w:r>
        <w:t>stable and high</w:t>
      </w:r>
      <w:r>
        <w:t>, while Defense has moved from large losses to small profits on some quarters[1][1].</w:t>
      </w:r>
    </w:p>
    <w:p>
      <w:pPr>
        <w:pStyle w:val="ListBullet"/>
      </w:pPr>
      <w:r>
        <w:t xml:space="preserve">Overall, KPIs are </w:t>
      </w:r>
      <w:r>
        <w:t>improving from a low base</w:t>
      </w:r>
      <w:r>
        <w:t>, but not yet at levels consistent with normalized profitability.</w:t>
      </w:r>
    </w:p>
    <w:p>
      <w:r>
        <w:t>---</w:t>
      </w:r>
    </w:p>
    <w:p>
      <w:r>
        <w:rPr>
          <w:b/>
          <w:color w:val="00008B"/>
          <w:sz w:val="28"/>
        </w:rPr>
        <w:t>10. Capital Allocation and Balance Sheet</w:t>
      </w:r>
    </w:p>
    <w:p>
      <w:r>
        <w:rPr>
          <w:b/>
        </w:rPr>
        <w:t>Historical capital allocation</w:t>
      </w:r>
    </w:p>
    <w:p>
      <w:r>
        <w:t xml:space="preserve">Pre‑crisis, Boeing allocated substantial capital to </w:t>
      </w:r>
      <w:r>
        <w:t>dividends and share repurchases</w:t>
      </w:r>
      <w:r>
        <w:t>; these are now suspended.</w:t>
      </w:r>
    </w:p>
    <w:p>
      <w:r>
        <w:t xml:space="preserve">Recent years have focused on </w:t>
      </w:r>
      <w:r>
        <w:t>funding operations, servicing debt, and selected portfolio actions</w:t>
      </w:r>
      <w:r>
        <w:t xml:space="preserve">, such as the </w:t>
      </w:r>
      <w:r>
        <w:t>sale of Jeppesen (Digital Aviation Solutions) for $10.55B</w:t>
      </w:r>
      <w:r>
        <w:t xml:space="preserve"> and the acquisition of Spirit AeroSystems (completed Dec‑8‑2025)[1][1][8‑K][8‑K].</w:t>
      </w:r>
    </w:p>
    <w:p>
      <w:r>
        <w:rPr>
          <w:b/>
        </w:rPr>
        <w:t>Balance sheet strength</w:t>
      </w:r>
    </w:p>
    <w:p>
      <w:pPr>
        <w:pStyle w:val="ListBullet"/>
      </w:pPr>
      <w:r>
        <w:t xml:space="preserve">Q3‑2025: </w:t>
      </w:r>
      <w:r>
        <w:t>cash and marketable securities $23.0B; consolidated debt $53.4B</w:t>
      </w:r>
      <w:r>
        <w:t>[3][3].</w:t>
      </w:r>
    </w:p>
    <w:p>
      <w:pPr>
        <w:pStyle w:val="ListBullet"/>
      </w:pPr>
      <w:r>
        <w:t xml:space="preserve">Net debt is substantial, and Boeing maintains large </w:t>
      </w:r>
      <w:r>
        <w:t>revolving credit facilities</w:t>
      </w:r>
      <w:r>
        <w:t xml:space="preserve"> for liquidity[3][3].</w:t>
      </w:r>
    </w:p>
    <w:p>
      <w:pPr>
        <w:pStyle w:val="ListBullet"/>
      </w:pPr>
      <w:r>
        <w:t>Pension and post‑retirement obligations add to long‑term liabilities.</w:t>
      </w:r>
    </w:p>
    <w:p>
      <w:r>
        <w:rPr>
          <w:b/>
        </w:rPr>
        <w:t>Value creation assessment</w:t>
      </w:r>
    </w:p>
    <w:p>
      <w:r>
        <w:t xml:space="preserve">Given multi‑year </w:t>
      </w:r>
      <w:r>
        <w:t>negative earnings and cash burn</w:t>
      </w:r>
      <w:r>
        <w:t xml:space="preserve">, recent capital allocation has </w:t>
      </w:r>
      <w:r>
        <w:t>not yet created equity value</w:t>
      </w:r>
      <w:r>
        <w:t>; it has primarily prevented financial distress and supported operations.</w:t>
      </w:r>
    </w:p>
    <w:p>
      <w:r>
        <w:t>Future value creation depends on successful integration of Spirit, deleveraging, and restoring sustained positive free cash flow.</w:t>
      </w:r>
    </w:p>
    <w:p>
      <w:r>
        <w:t>---</w:t>
      </w:r>
    </w:p>
    <w:p>
      <w:r>
        <w:rPr>
          <w:b/>
          <w:color w:val="00008B"/>
          <w:sz w:val="28"/>
        </w:rPr>
        <w:t>11. Risks and Failure Modes</w:t>
      </w:r>
    </w:p>
    <w:p>
      <w:r>
        <w:rPr>
          <w:b/>
        </w:rPr>
        <w:t>Key risks</w:t>
      </w:r>
    </w:p>
    <w:p>
      <w:pPr>
        <w:pStyle w:val="ListBullet"/>
      </w:pPr>
      <w:r>
        <w:t>Safety and quality</w:t>
      </w:r>
      <w:r>
        <w:t>: further incidents (e.g., 737, 777X) could trigger grounding, fines, or lost orders[1][1].</w:t>
      </w:r>
    </w:p>
    <w:p>
      <w:pPr>
        <w:pStyle w:val="ListBullet"/>
      </w:pPr>
      <w:r>
        <w:t>Program execution</w:t>
      </w:r>
      <w:r>
        <w:t>: additional cost growth or delays on 737, 787, 777X, KC‑46, T‑7A, MQ‑25 and other fixed‑price contracts[3][3].</w:t>
      </w:r>
    </w:p>
    <w:p>
      <w:pPr>
        <w:pStyle w:val="ListBullet"/>
      </w:pPr>
      <w:r>
        <w:t>Regulatory and certification risk</w:t>
      </w:r>
      <w:r>
        <w:t xml:space="preserve"> with FAA, DoD, and international regulators.</w:t>
      </w:r>
    </w:p>
    <w:p>
      <w:pPr>
        <w:pStyle w:val="ListBullet"/>
      </w:pPr>
      <w:r>
        <w:t>Macroeconomic and airline health</w:t>
      </w:r>
      <w:r>
        <w:t>: downturns in travel or higher interest rates affecting airline capex.</w:t>
      </w:r>
    </w:p>
    <w:p>
      <w:pPr>
        <w:pStyle w:val="ListBullet"/>
      </w:pPr>
      <w:r>
        <w:t>Leverage and liquidity</w:t>
      </w:r>
      <w:r>
        <w:t>: large debt load and negative cash flow heighten financial risk[3][3][1][1].</w:t>
      </w:r>
    </w:p>
    <w:p>
      <w:r>
        <w:rPr>
          <w:b/>
        </w:rPr>
        <w:t>How the equity story could fail</w:t>
      </w:r>
    </w:p>
    <w:p>
      <w:r>
        <w:t xml:space="preserve">If Boeing </w:t>
      </w:r>
      <w:r>
        <w:t>cannot stabilize production quality, certify 777X on the new timeline, or achieve positive free cash flow by the latter 2020s</w:t>
      </w:r>
      <w:r>
        <w:t>, equity could face dilution, credit downgrades, or weaker competitive position.</w:t>
      </w:r>
    </w:p>
    <w:p>
      <w:r>
        <w:t xml:space="preserve">Persistent losses might force </w:t>
      </w:r>
      <w:r>
        <w:t>asset sales on unfavorable terms</w:t>
      </w:r>
      <w:r>
        <w:t xml:space="preserve"> or constrain necessary R&amp;D and capex, eroding long‑term competitiveness.</w:t>
      </w:r>
    </w:p>
    <w:p>
      <w:r>
        <w:rPr>
          <w:b/>
        </w:rPr>
        <w:t>Areas of high uncertainty</w:t>
      </w:r>
    </w:p>
    <w:p>
      <w:pPr>
        <w:pStyle w:val="ListBullet"/>
      </w:pPr>
      <w:r>
        <w:t>Exact timing and slope of margin normalization</w:t>
      </w:r>
      <w:r>
        <w:t xml:space="preserve"> on major programs.</w:t>
      </w:r>
    </w:p>
    <w:p>
      <w:pPr>
        <w:pStyle w:val="ListBullet"/>
      </w:pPr>
      <w:r>
        <w:t xml:space="preserve">Future </w:t>
      </w:r>
      <w:r>
        <w:t>regulatory actions</w:t>
      </w:r>
      <w:r>
        <w:t xml:space="preserve"> and any additional charges related to safety or legal settlements.</w:t>
      </w:r>
    </w:p>
    <w:p>
      <w:pPr>
        <w:pStyle w:val="ListBullet"/>
      </w:pPr>
      <w:r>
        <w:t xml:space="preserve">Realized </w:t>
      </w:r>
      <w:r>
        <w:t>synergies and integration risks</w:t>
      </w:r>
      <w:r>
        <w:t xml:space="preserve"> from the Spirit AeroSystems acquisition[8‑K][8‑K].</w:t>
      </w:r>
    </w:p>
    <w:p>
      <w:r>
        <w:t>---</w:t>
      </w:r>
    </w:p>
    <w:p>
      <w:r>
        <w:rPr>
          <w:b/>
          <w:color w:val="00008B"/>
          <w:sz w:val="28"/>
        </w:rPr>
        <w:t>12. Valuation and Expected Return Profile</w:t>
      </w:r>
    </w:p>
    <w:p>
      <w:r>
        <w:rPr>
          <w:b/>
        </w:rPr>
        <w:t>Current valuation vs history and peers</w:t>
      </w:r>
    </w:p>
    <w:p>
      <w:r>
        <w:t xml:space="preserve">With </w:t>
      </w:r>
      <w:r>
        <w:t>negative TTM EPS</w:t>
      </w:r>
      <w:r>
        <w:t xml:space="preserve">, BA trades on </w:t>
      </w:r>
      <w:r>
        <w:t>EV/sales and price/sales</w:t>
      </w:r>
      <w:r>
        <w:t xml:space="preserve"> rather than P/E based on current results.</w:t>
      </w:r>
    </w:p>
    <w:p>
      <w:r>
        <w:t xml:space="preserve">Historically, Boeing traded at </w:t>
      </w:r>
      <w:r>
        <w:t>mid‑teens P/E</w:t>
      </w:r>
      <w:r>
        <w:t xml:space="preserve"> on normalized earnings and a premium to defense peers due to commercial aerospace exposure; today’s implied valuation embeds expectations of a return to positive, multi‑dollar EPS within a few years.</w:t>
      </w:r>
    </w:p>
    <w:p>
      <w:r>
        <w:rPr>
          <w:b/>
        </w:rPr>
        <w:t>Scenario framework (conceptual, not a forecast)</w:t>
      </w:r>
    </w:p>
    <w:p>
      <w:pPr>
        <w:pStyle w:val="ListBullet"/>
      </w:pPr>
      <w:r>
        <w:t>Bear case</w:t>
      </w:r>
      <w:r>
        <w:t>: Continued program issues, 777X further delayed, FCF stays weak, leverage remains high → equity reprices closer to asset/optional value with meaningful downside.</w:t>
      </w:r>
    </w:p>
    <w:p>
      <w:pPr>
        <w:pStyle w:val="ListBullet"/>
      </w:pPr>
      <w:r>
        <w:t>Base case</w:t>
      </w:r>
      <w:r>
        <w:t>: Gradual recovery; 737/787 stabilize, 777X delivers by 2027, FCF turns sustainably positive around 2026–27 → mid‑cycle multiples on ~$3–5 EPS could justify moderate upside from current levels.</w:t>
      </w:r>
    </w:p>
    <w:p>
      <w:pPr>
        <w:pStyle w:val="ListBullet"/>
      </w:pPr>
      <w:r>
        <w:t>Bull case</w:t>
      </w:r>
      <w:r>
        <w:t>: Strong execution, robust traffic growth, high deliveries (&gt;700 per year), and expanding services mix → higher EPS and FCF support substantial deleveraging and potential resumption of capital returns.</w:t>
      </w:r>
    </w:p>
    <w:p>
      <w:r>
        <w:rPr>
          <w:b/>
        </w:rPr>
        <w:t>What must be true for the current price to be attractive</w:t>
      </w:r>
    </w:p>
    <w:p>
      <w:pPr>
        <w:pStyle w:val="ListBullet"/>
      </w:pPr>
      <w:r>
        <w:t xml:space="preserve">Investors must believe Boeing can </w:t>
      </w:r>
      <w:r>
        <w:t>deliver on a multi‑year recovery plan</w:t>
      </w:r>
      <w:r>
        <w:t>, including:</w:t>
      </w:r>
    </w:p>
    <w:p>
      <w:pPr>
        <w:pStyle w:val="ListBullet"/>
      </w:pPr>
      <w:r>
        <w:t>certifying and ramping 777X without large incremental charges,</w:t>
      </w:r>
    </w:p>
    <w:p>
      <w:pPr>
        <w:pStyle w:val="ListBullet"/>
      </w:pPr>
      <w:r>
        <w:t>maintaining strong backlog and pricing,</w:t>
      </w:r>
    </w:p>
    <w:p>
      <w:pPr>
        <w:pStyle w:val="ListBullet"/>
      </w:pPr>
      <w:r>
        <w:t xml:space="preserve">restoring </w:t>
      </w:r>
      <w:r>
        <w:t>mid‑single‑digit or better net margins</w:t>
      </w:r>
      <w:r>
        <w:t xml:space="preserve"> and strong services profitability, and</w:t>
      </w:r>
    </w:p>
    <w:p>
      <w:pPr>
        <w:pStyle w:val="ListBullet"/>
      </w:pPr>
      <w:r>
        <w:t xml:space="preserve">using cash flow to </w:t>
      </w:r>
      <w:r>
        <w:t>reduce debt meaningfully</w:t>
      </w:r>
      <w:r>
        <w:t xml:space="preserve"> rather than fund ongoing losses.</w:t>
      </w:r>
    </w:p>
    <w:p>
      <w:r>
        <w:t>---</w:t>
      </w:r>
    </w:p>
    <w:p>
      <w:r>
        <w:rPr>
          <w:b/>
          <w:color w:val="00008B"/>
          <w:sz w:val="28"/>
        </w:rPr>
        <w:t>13. Catalysts and Time Horizon</w:t>
      </w:r>
    </w:p>
    <w:p>
      <w:r>
        <w:rPr>
          <w:b/>
        </w:rPr>
        <w:t>Near‑ and medium‑term catalysts</w:t>
      </w:r>
    </w:p>
    <w:p>
      <w:pPr>
        <w:pStyle w:val="ListBullet"/>
      </w:pPr>
      <w:r>
        <w:t xml:space="preserve">Quarterly </w:t>
      </w:r>
      <w:r>
        <w:t>delivery and cash‑flow prints</w:t>
      </w:r>
      <w:r>
        <w:t xml:space="preserve"> that confirm or refute the trajectory toward positive FCF (management has indicated expectations for positive FCF by Q4‑2025 and more in 2026)[1][1].</w:t>
      </w:r>
    </w:p>
    <w:p>
      <w:pPr>
        <w:pStyle w:val="ListBullet"/>
      </w:pPr>
      <w:r>
        <w:t>Regulatory milestones</w:t>
      </w:r>
      <w:r>
        <w:t xml:space="preserve"> and certification progress on 737 variants and 777X.</w:t>
      </w:r>
    </w:p>
    <w:p>
      <w:pPr>
        <w:pStyle w:val="ListBullet"/>
      </w:pPr>
      <w:r>
        <w:t xml:space="preserve">Visibility on </w:t>
      </w:r>
      <w:r>
        <w:t>defense program cost resolution</w:t>
      </w:r>
      <w:r>
        <w:t xml:space="preserve"> (KC‑46, T‑7A, MQ‑25, Commercial Crew)[3][3].</w:t>
      </w:r>
    </w:p>
    <w:p>
      <w:pPr>
        <w:pStyle w:val="ListBullet"/>
      </w:pPr>
      <w:r>
        <w:t>Integration milestones and disclosures</w:t>
      </w:r>
      <w:r>
        <w:t xml:space="preserve"> for the Spirit AeroSystems acquisition[8‑K][8‑K].</w:t>
      </w:r>
    </w:p>
    <w:p>
      <w:r>
        <w:rPr>
          <w:b/>
        </w:rPr>
        <w:t>Slow‑building catalysts</w:t>
      </w:r>
    </w:p>
    <w:p>
      <w:pPr>
        <w:pStyle w:val="ListBullet"/>
      </w:pPr>
      <w:r>
        <w:t>Mix shift</w:t>
      </w:r>
      <w:r>
        <w:t xml:space="preserve"> toward higher‑margin Global Services and a larger active fleet under contract[1][1].</w:t>
      </w:r>
    </w:p>
    <w:p>
      <w:pPr>
        <w:pStyle w:val="ListBullet"/>
      </w:pPr>
      <w:r>
        <w:t>Operating leverage</w:t>
      </w:r>
      <w:r>
        <w:t xml:space="preserve"> as production rates rise and fixed costs spread over more units.</w:t>
      </w:r>
    </w:p>
    <w:p>
      <w:pPr>
        <w:pStyle w:val="ListBullet"/>
      </w:pPr>
      <w:r>
        <w:t xml:space="preserve">Progressive </w:t>
      </w:r>
      <w:r>
        <w:t>deleveraging</w:t>
      </w:r>
      <w:r>
        <w:t xml:space="preserve"> as cash generation improves.</w:t>
      </w:r>
    </w:p>
    <w:p>
      <w:r>
        <w:rPr>
          <w:b/>
        </w:rPr>
        <w:t>Time horizon and market recognition</w:t>
      </w:r>
    </w:p>
    <w:p>
      <w:r>
        <w:t xml:space="preserve">The thesis is inherently </w:t>
      </w:r>
      <w:r>
        <w:t>multi‑year (3–5+ years)</w:t>
      </w:r>
      <w:r>
        <w:t>, as major programs and balance‑sheet repair play out over several cycles.</w:t>
      </w:r>
    </w:p>
    <w:p>
      <w:r>
        <w:t xml:space="preserve">The market is likely to recognize value as Boeing delivers </w:t>
      </w:r>
      <w:r>
        <w:t>consistent positive FCF, fewer material charges, and visible progress on debt reduction</w:t>
      </w:r>
      <w:r>
        <w:t>, which should support multiple expansion and improved credit perception.</w:t>
      </w:r>
    </w:p>
    <w:p/>
    <w:p>
      <w:pPr>
        <w:pStyle w:val="Heading2"/>
      </w:pPr>
      <w:r>
        <w:t>Prompt Used:</w:t>
      </w:r>
    </w:p>
    <w:p>
      <w:r>
        <w:t>For the equity BA For this stock, drawing from information in these attached documents and from reliable online sources including Yahoo Finance and others, present a table with the following information for this stock.  Use only verifiable, factual information (annual reports, investor presentations, SEC filings attached here, earnings transcripts, and reputable financial sources)</w:t>
        <w:br/>
        <w:br/>
        <w:t xml:space="preserve">    Investment category/industry</w:t>
        <w:br/>
        <w:t xml:space="preserve">    PE ratio (TTM)</w:t>
        <w:br/>
        <w:t xml:space="preserve">    ROE (%)</w:t>
        <w:br/>
        <w:t xml:space="preserve">    Dividend yield (%)</w:t>
        <w:br/>
        <w:t xml:space="preserve">    Most recent revenue figure (USD billions)</w:t>
        <w:br/>
        <w:t xml:space="preserve">    Beta</w:t>
        <w:br/>
        <w:t xml:space="preserve">    Analyst recommendation</w:t>
        <w:br/>
        <w:br/>
        <w:t xml:space="preserve">Include a citation in each number showing which page it came from. </w:t>
        <w:br/>
        <w:br/>
        <w:t>Using only verifiable, factual information (annual reports, investor presentations, SEC filings attached here, earnings transcripts, and reputable financial sources) identify EPS growth rates, expected EPS growth, and the PEG ratio derived from analyst growth estimates.  Print these.</w:t>
        <w:br/>
        <w:br/>
        <w:t>Then, analyze this stock and the documents you've just extracted using the 13-point framework below.</w:t>
        <w:br/>
        <w:t>- Use only verifiable, factual information (annual reports, investor presentations, SEC filings attached here, earnings transcripts, and reputable financial sources).</w:t>
        <w:br/>
        <w:t>- Be concise, analytical, and concrete, with no filler or marketing language.</w:t>
        <w:br/>
        <w:br/>
        <w:t>Output format (exact structure required):</w:t>
        <w:br/>
        <w:br/>
        <w:t>First print a title for this section called "13-Point Analysis"</w:t>
        <w:br/>
        <w:br/>
        <w:t>Executive Summary (about 150–200 words)</w:t>
        <w:br/>
        <w:t>Summarize in plain English how this company makes money, its economic quality, and where its edge and risks lie.</w:t>
        <w:br/>
        <w:t>End with one sentence that describes the business to an investor in one line.</w:t>
        <w:br/>
        <w:br/>
        <w:t>For each of these numbered section headers make the total bold and blue and slightly larger than the subsequent text.</w:t>
        <w:br/>
        <w:t xml:space="preserve">1. What They Sell and Who Buys </w:t>
        <w:br/>
        <w:t>* Describe the main products or services.  (Make the section header font bold and bullet point the points below.)</w:t>
        <w:br/>
        <w:t>* Define target customers by type, segment, and geography, and why they buy, including the main pain point or motivation.  (Make the section header font bold and bullet point the points below.)</w:t>
        <w:br/>
        <w:t>(Carry this same formatting from this #1 section throughout the rest of the 13 points.)</w:t>
        <w:br/>
        <w:br/>
        <w:t>2. How They Make Money</w:t>
        <w:br/>
        <w:t>* Explain the revenue model and pricing logic. (Make the section header font bold and bullet point the points below.)</w:t>
        <w:br/>
        <w:t>* Clarify whether revenues are one-time, recurring, transaction-based, or hybrid. (Make the section header font bold and bullet point the points below.)</w:t>
        <w:br/>
        <w:t>* Include key revenue segments and their share if available. (Make the section header font bold and bullet point the points below.)</w:t>
        <w:br/>
        <w:br/>
        <w:t>3. Revenue Quality</w:t>
        <w:br/>
        <w:t>* Assess how predictable and diversified revenues are. (Make the section header font bold and bullet point the points below.)</w:t>
        <w:br/>
        <w:t>* Break down recurring versus one-off components, customer or segment concentration, and exposure to economic cycles. (Make the section header font bold and bullet point the points below.)</w:t>
        <w:br/>
        <w:br/>
        <w:br/>
        <w:t>4. Cost Structure</w:t>
        <w:br/>
        <w:t>* Outline major cost drivers, such as COGS, labor, logistics, marketing. (Make the section header font bold and bullet point the points below.)</w:t>
        <w:br/>
        <w:t>* Include gross and operating margins where possible. (Make the section header font bold and bullet point the points below.)</w:t>
        <w:br/>
        <w:t>* Comment on scalability, fixed versus variable costs, and how margins move with growth. (Make the section header font bold and bullet point the points below.)</w:t>
        <w:br/>
        <w:br/>
        <w:br/>
        <w:t>5. Capital Intensity</w:t>
        <w:br/>
        <w:t>* Describe the assets needed to run and grow operations. (Make the section header font bold and bullet point the points below.)</w:t>
        <w:br/>
        <w:t>* Include capital expenditure levels, working capital needs, and cash conversion efficiency. (Make the section header font bold and bullet point the points below.)</w:t>
        <w:br/>
        <w:br/>
        <w:br/>
        <w:t>6. Growth Drivers</w:t>
        <w:br/>
        <w:t>* Identify the main levers for revenue growth, such as volume, pricing, product mix, geographic expansion, or acquisitions. (Make the section header font bold and bullet point the points below.)</w:t>
        <w:br/>
        <w:t>* Clarify whether each driver is structural and long term or cyclical and short term. (Make the section header font bold and bullet point the points below.)</w:t>
        <w:br/>
        <w:br/>
        <w:br/>
        <w:t>7. Competitive Edge</w:t>
        <w:br/>
        <w:t>* Explain what protects the company’s economics from competition, such as brand, cost advantage, switching costs, regulation, network effects, data, or intellectual property. (Make the sub-section header font bold with no bullet point on that subsection header and bullet point the points below.)</w:t>
        <w:br/>
        <w:t>* Discuss how durable and testable this moat appears, using financial evidence such as margins, ROIC, or customer retention. (Make the sub-section header font bold with no bullet point on that subsection header and bullet point the points below.)</w:t>
        <w:br/>
        <w:br/>
        <w:br/>
        <w:t>8. Industry Structure and Position</w:t>
        <w:br/>
        <w:t>* Describe the industry value chain and where profit pools sit. (Make the sub-section header font bold with no bullet point on that subsection header and bullet point the points below.)</w:t>
        <w:br/>
        <w:t>* Explain market structure, for example fragmented or consolidated, presence of pricing power, and key regulatory factors. (Make the sub-section header font bold with no bullet point on that subsection header and bullet point the points below.)</w:t>
        <w:br/>
        <w:t>* Place the company within this context, including market share, relative scale, and whether it acts as a price setter, a price taker, a niche specialist, or a platform. (Make the sub-section header font bold with no bullet point on that subsection header and bullet point the points below.)</w:t>
        <w:br/>
        <w:br/>
        <w:t>9. Unit Economics and Key KPIs</w:t>
        <w:br/>
        <w:t>* Present unit economics at the relevant level, such as per customer, store, device, transaction, or cohort. (Make the sub-section header font bold with no bullet point on that subsection header and bullet point the points below.)</w:t>
        <w:br/>
        <w:t>* Include metrics such as CAC, LTV, churn or retention, ARPU, utilization, occupancy, and payback periods where applicable.(Make the sub-section header font bold with no bullet point on that subsection header and bullet point the points below.)</w:t>
        <w:br/>
        <w:t>* Comment on whether these unit economics and KPIs are improving, stable, or weakening over time.(Make the sub-section header font bold with no bullet point on that subsection header and bullet point the points below.)</w:t>
        <w:br/>
        <w:br/>
        <w:br/>
        <w:t>10. Capital Allocation and Balance Sheet</w:t>
        <w:br/>
        <w:t>* Summarize historical capital allocation across organic investment, acquisitions, buybacks, dividends, and debt reduction.(Make the sub-section header font bold with no bullet point on that subsection header and bullet point the points below.)</w:t>
        <w:br/>
        <w:t>* Describe balance sheet strength, including leverage, debt maturity profile, liquidity, and any major off balance sheet obligations.(Make the sub-section header font bold with no bullet point on that subsection header and bullet point the points below.)</w:t>
        <w:br/>
        <w:t>* Assess whether capital allocation has likely created or destroyed value.(Make the sub-section header font bold with no bullet point on that subsection header and bullet point the points below.)</w:t>
        <w:br/>
        <w:br/>
        <w:t>11. Risks and Failure Modes</w:t>
        <w:br/>
        <w:t>* Identify key risks, such as competitive, technological, regulatory, macroeconomic, customer concentration, or currency exposure.(Make the sub-section header font bold with no bullet point on that subsection header and bullet point the points below.)</w:t>
        <w:br/>
        <w:t>* Describe in simple terms how the equity story could fail, and what would need to happen for this to occur.(Make the sub-section header font bold with no bullet point on that subsection header and bullet point the points below.)</w:t>
        <w:br/>
        <w:t>* Highlight areas where uncertainty is especially high or information is limited.(Make the sub-section header font bold with no bullet point on that subsection header and bullet point the points below.)</w:t>
        <w:br/>
        <w:br/>
        <w:t>12. Valuation and Expected Return Profile</w:t>
        <w:br/>
        <w:t>* Compare current valuation with the company’s own history and with peers, using the metrics that best fit this business, such as P/E, EV/EBIT, EV/Sales, FCF yield.(Make the sub-section header font bold with no bullet point on that subsection header and bullet point the points below.)</w:t>
        <w:br/>
        <w:t>* Provide a simple scenario framework with bear, base, and bull cases, including rough assumptions and implied upside or downside.(Make the sub-section header font bold with no bullet point on that subsection header and bullet point the points below.)</w:t>
        <w:br/>
        <w:t>* State explicitly what must be true for the current price to be attractive, fair, or expensive.(Make the sub-section header font bold with no bullet point on that subsection header and bullet point the points below.)</w:t>
        <w:br/>
        <w:br/>
        <w:t>13. Catalysts and Time Horizon</w:t>
        <w:br/>
        <w:t>* List near and medium term catalysts, such as product launches, margin inflection, regulatory events, refinancing, or index changes.(Make the sub-section header font bold with no bullet point on that subsection header and bullet point the points below.)</w:t>
        <w:br/>
        <w:t>* Note any slow building catalysts, such as mix shift or operating leverage that accumulates over time.(Make the sub-section header font bold with no bullet point on that subsection header and bullet point the points below.)</w:t>
        <w:br/>
        <w:t>* Explain the expected time horizon for the thesis to play out and how the market is likely to recognize the value if the thesis is correct.(Make the sub-section header font bold with no bullet point on that subsection header and bullet point the points below.)</w:t>
        <w:br/>
        <w:br/>
        <w:t>Tone: Analytical, neutral, precise.</w:t>
        <w:br/>
        <w:t>Goal: Produce a concise yet rich narrative that lets an investor understand how this business works, how resilient and valuable its economics are, and whether the stock looks attractive at today’s price.</w:t>
        <w:br/>
        <w:br/>
        <w:t>[SEC filings included: BA_10-K_2025-02-03.html, BA_10-Q_2025-10-29.html, BA_8-K_2025-12-08.html]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