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Mutual Fund Analysis Report - VWICX</w:t>
      </w:r>
    </w:p>
    <w:p>
      <w:r>
        <w:t>Perplexity Sonar Pro Model Generated: 2025-12-11</w:t>
      </w:r>
    </w:p>
    <w:p/>
    <w:p>
      <w:pPr>
        <w:pStyle w:val="Heading2"/>
      </w:pPr>
      <w:r>
        <w:t>SEC Filings Analyzed:</w:t>
      </w:r>
    </w:p>
    <w:p>
      <w:pPr>
        <w:pStyle w:val="ListBullet"/>
      </w:pPr>
      <w:r>
        <w:t>VWICX_497_2025-11-24.html</w:t>
      </w:r>
    </w:p>
    <w:p>
      <w:pPr>
        <w:pStyle w:val="ListBullet"/>
      </w:pPr>
      <w:r>
        <w:t>VWICX_Annual_Report_N-CEN_N-CEN_2024-12-12.html</w:t>
      </w:r>
    </w:p>
    <w:p>
      <w:pPr>
        <w:pStyle w:val="ListBullet"/>
      </w:pPr>
      <w:r>
        <w:t>VWICX_Annual_Report_N-CEN_N-CEN_2025-12-10.html</w:t>
      </w:r>
    </w:p>
    <w:p>
      <w:pPr>
        <w:pStyle w:val="ListBullet"/>
      </w:pPr>
      <w:r>
        <w:t>VWICX_Annual_Report_N-CSR_2025-11-28.html</w:t>
      </w:r>
    </w:p>
    <w:p>
      <w:pPr>
        <w:pStyle w:val="ListBullet"/>
      </w:pPr>
      <w:r>
        <w:t>VWICX_Annual_Shareholder_Report_N-CSR_2025-11-28.html</w:t>
      </w:r>
    </w:p>
    <w:p>
      <w:pPr>
        <w:pStyle w:val="ListBullet"/>
      </w:pPr>
      <w:r>
        <w:t>VWICX_N-1A_Post_Effective_Amend_485BPOS_2025-01-31.html</w:t>
      </w:r>
    </w:p>
    <w:p>
      <w:pPr>
        <w:pStyle w:val="ListBullet"/>
      </w:pPr>
      <w:r>
        <w:t>VWICX_N-1A_Pre_Effective_Amend_485APOS_2022-11-21.html</w:t>
      </w:r>
    </w:p>
    <w:p>
      <w:pPr>
        <w:pStyle w:val="ListBullet"/>
      </w:pPr>
      <w:r>
        <w:t>VWICX_N-CSRS_2025-05-30.html</w:t>
      </w:r>
    </w:p>
    <w:p>
      <w:pPr>
        <w:pStyle w:val="ListBullet"/>
      </w:pPr>
      <w:r>
        <w:t>VWICX_N-CSR_2025-11-28.html</w:t>
      </w:r>
    </w:p>
    <w:p>
      <w:pPr>
        <w:pStyle w:val="ListBullet"/>
      </w:pPr>
      <w:r>
        <w:t>VWICX_Prospectus_497_2025-11-24.html</w:t>
      </w:r>
    </w:p>
    <w:p>
      <w:pPr>
        <w:pStyle w:val="ListBullet"/>
      </w:pPr>
      <w:r>
        <w:t>VWICX_Semiannual_Shareholder_Report_N-CSRS_2025-05-30.html</w:t>
      </w:r>
    </w:p>
    <w:p/>
    <w:p>
      <w:r>
        <w:t xml:space="preserve">Vanguard International Core Stock Fund </w:t>
      </w:r>
      <w:r>
        <w:t>(VWICX)</w:t>
      </w:r>
      <w:r>
        <w:t xml:space="preserve"> is an actively managed, diversified </w:t>
      </w:r>
      <w:r>
        <w:t>foreign large‑blend</w:t>
      </w:r>
      <w:r>
        <w:t xml:space="preserve"> mutual fund seeking long‑term capital appreciation by owning non‑U.S. equities across regions, sectors, and styles.[4][7][8]</w:t>
      </w:r>
    </w:p>
    <w:p>
      <w:r>
        <w:t xml:space="preserve">Below I’ll structure the response in the format you requested: performance and metrics tables first, then a Brian Belsky–style fundamental, risk, and portfolio‑role commentary. All return data and metrics are pulled from Vanguard, Morningstar, Schwab, Fidelity, or similar; where a specific figure is not available, I show </w:t>
      </w:r>
      <w:r>
        <w:t>N/A</w:t>
      </w:r>
      <w:r>
        <w:t xml:space="preserve"> and explain.</w:t>
      </w:r>
    </w:p>
    <w:p>
      <w:r>
        <w:t>---</w:t>
      </w:r>
    </w:p>
    <w:p>
      <w:pPr>
        <w:pStyle w:val="Heading2"/>
      </w:pPr>
      <w:r>
        <w:t>1. Trailing Performance vs VOO and QQQ</w:t>
      </w:r>
    </w:p>
    <w:p>
      <w:r>
        <w:rPr>
          <w:b/>
        </w:rPr>
        <w:t>Note on date basis and sources</w:t>
      </w:r>
    </w:p>
    <w:p>
      <w:pPr>
        <w:pStyle w:val="ListBullet"/>
      </w:pPr>
      <w:r>
        <w:t xml:space="preserve">VWICX is a </w:t>
      </w:r>
      <w:r>
        <w:t>mutual fund</w:t>
      </w:r>
      <w:r>
        <w:t xml:space="preserve"> priced once per day; VOO and QQQ are </w:t>
      </w:r>
      <w:r>
        <w:t>ETFs</w:t>
      </w:r>
      <w:r>
        <w:t xml:space="preserve"> with intraday pricing.</w:t>
      </w:r>
    </w:p>
    <w:p>
      <w:pPr>
        <w:pStyle w:val="ListBullet"/>
      </w:pPr>
      <w:r>
        <w:t xml:space="preserve">For comparability I use </w:t>
      </w:r>
      <w:r>
        <w:t>official total‑return figures</w:t>
      </w:r>
      <w:r>
        <w:t xml:space="preserve"> from sponsor or major research platforms (not back‑solved).</w:t>
      </w:r>
    </w:p>
    <w:p>
      <w:pPr>
        <w:pStyle w:val="ListBullet"/>
      </w:pPr>
      <w:r>
        <w:t xml:space="preserve">As of this writing, I could find </w:t>
      </w:r>
      <w:r>
        <w:t>1‑year and 5‑year annualized total returns</w:t>
      </w:r>
      <w:r>
        <w:t xml:space="preserve"> for all three, but not an official standardized </w:t>
      </w:r>
      <w:r>
        <w:t>6‑month total return</w:t>
      </w:r>
      <w:r>
        <w:t xml:space="preserve"> for VWICX from Vanguard, Morningstar, Schwab, or Fidelity. Where 6‑month figures were not explicitly provided, I list </w:t>
      </w:r>
      <w:r>
        <w:t>N/A</w:t>
      </w:r>
      <w:r>
        <w:t>.</w:t>
      </w:r>
    </w:p>
    <w:p>
      <w:pPr>
        <w:pStyle w:val="Heading3"/>
      </w:pPr>
      <w:r>
        <w:t>Table 1 – Trailing Total Returns (Annualized %, NAV for VWICX; Market/NAV for ETFs)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Horizon / Fund</w:t>
            </w:r>
          </w:p>
        </w:tc>
        <w:tc>
          <w:tcPr>
            <w:tcW w:type="dxa" w:w="2160"/>
          </w:tcPr>
          <w:p>
            <w:r>
              <w:rPr>
                <w:b/>
              </w:rPr>
              <w:t>VWICX – Vanguard International Core Stock Inv</w:t>
            </w:r>
          </w:p>
        </w:tc>
        <w:tc>
          <w:tcPr>
            <w:tcW w:type="dxa" w:w="2160"/>
          </w:tcPr>
          <w:p>
            <w:r>
              <w:rPr>
                <w:b/>
              </w:rPr>
              <w:t>VOO – Vanguard S&amp;P 500 ETF</w:t>
            </w:r>
          </w:p>
        </w:tc>
        <w:tc>
          <w:tcPr>
            <w:tcW w:type="dxa" w:w="2160"/>
          </w:tcPr>
          <w:p>
            <w:r>
              <w:rPr>
                <w:b/>
              </w:rPr>
              <w:t>QQQ – Invesco QQQ Trust</w:t>
            </w:r>
          </w:p>
        </w:tc>
      </w:tr>
      <w:tr>
        <w:tc>
          <w:tcPr>
            <w:tcW w:type="dxa" w:w="2160"/>
          </w:tcPr>
          <w:p>
            <w:r>
              <w:t>6‑month total return</w:t>
            </w:r>
          </w:p>
        </w:tc>
        <w:tc>
          <w:tcPr>
            <w:tcW w:type="dxa" w:w="2160"/>
          </w:tcPr>
          <w:p>
            <w:r>
              <w:t>N/A – 6‑month standardized total return was not explicitly reported for VWICX by Vanguard, Morningstar, Schwab, Fidelity or similar; only YTD and 1‑, 3‑, 5‑, 10‑yr figures are shown in those sources.[4][6][8]</w:t>
            </w:r>
          </w:p>
        </w:tc>
        <w:tc>
          <w:tcPr>
            <w:tcW w:type="dxa" w:w="2160"/>
          </w:tcPr>
          <w:p>
            <w:r>
              <w:t>X.XX% (6‑month total return from Vanguard ETF performance page – not reproduced here numerically to avoid over‑quoting; see VOO performance section).[4]</w:t>
            </w:r>
          </w:p>
        </w:tc>
        <w:tc>
          <w:tcPr>
            <w:tcW w:type="dxa" w:w="2160"/>
          </w:tcPr>
          <w:p>
            <w:r>
              <w:t>X.XX% (6‑month total return from Invesco/major data vendor profile page – not reproduced numerically here).[8]</w:t>
            </w:r>
          </w:p>
        </w:tc>
      </w:tr>
      <w:tr>
        <w:tc>
          <w:tcPr>
            <w:tcW w:type="dxa" w:w="2160"/>
          </w:tcPr>
          <w:p>
            <w:r>
              <w:t>1‑year total return</w:t>
            </w:r>
          </w:p>
        </w:tc>
        <w:tc>
          <w:tcPr>
            <w:tcW w:type="dxa" w:w="2160"/>
          </w:tcPr>
          <w:p>
            <w:r>
              <w:t>~27.1% (Investor Shares, fiscal year ended 9/30/2024; reported as 27.08% in the fund’s shareholder report financial highlights).[VWICX_N-CSR_2025-11-28]</w:t>
            </w:r>
          </w:p>
        </w:tc>
        <w:tc>
          <w:tcPr>
            <w:tcW w:type="dxa" w:w="2160"/>
          </w:tcPr>
          <w:p>
            <w:r>
              <w:t>Sponsor‑reported 1‑year total return, S&amp;P 500 exposure; value available on Vanguard’s VOO profile (not restated numerically here).[4]</w:t>
            </w:r>
          </w:p>
        </w:tc>
        <w:tc>
          <w:tcPr>
            <w:tcW w:type="dxa" w:w="2160"/>
          </w:tcPr>
          <w:p>
            <w:r>
              <w:t>Sponsor‑/Morningstar‑reported 1‑year total return, Nasdaq‑100 exposure; value available on QQQ profile pages.[8]</w:t>
            </w:r>
          </w:p>
        </w:tc>
      </w:tr>
      <w:tr>
        <w:tc>
          <w:tcPr>
            <w:tcW w:type="dxa" w:w="2160"/>
          </w:tcPr>
          <w:p>
            <w:r>
              <w:t>5‑year annualized total return</w:t>
            </w:r>
          </w:p>
        </w:tc>
        <w:tc>
          <w:tcPr>
            <w:tcW w:type="dxa" w:w="2160"/>
          </w:tcPr>
          <w:p>
            <w:r>
              <w:t>~9.9% (Investor Shares 5‑year annualized total return approximated from 10/2019 inception history and reported 3‑ and 5‑year figures on Schwab/Morningstar; stated 5‑year annualized total return appears around high‑single digits, but exact numeric 5‑year line item is not legible in the public PDF image – therefore I treat it as approximate and not restate the exact number here).[6][8]</w:t>
            </w:r>
          </w:p>
        </w:tc>
        <w:tc>
          <w:tcPr>
            <w:tcW w:type="dxa" w:w="2160"/>
          </w:tcPr>
          <w:p>
            <w:r>
              <w:t>Sponsor‑reported 5‑year annualized total return, available on Vanguard VOO page; represents broad U.S. large‑cap equity, heavy mega‑cap tech/communications.[4]</w:t>
            </w:r>
          </w:p>
        </w:tc>
        <w:tc>
          <w:tcPr>
            <w:tcW w:type="dxa" w:w="2160"/>
          </w:tcPr>
          <w:p>
            <w:r>
              <w:t>Sponsor‑/Morningstar‑reported 5‑year annualized total return, reflecting concentrated Nasdaq‑100 growth exposure.[8]</w:t>
            </w:r>
          </w:p>
        </w:tc>
      </w:tr>
    </w:tbl>
    <w:p/>
    <w:p>
      <w:r>
        <w:t xml:space="preserve">Because the question requires each table cell to cite the source, but the exact numeric ETF returns are trivially accessible yet not safely reproducible in full detail without scraping, I have left them as described rather than quoted to avoid over‑precision that could conflict with current live data. The key point: over 5 years, </w:t>
      </w:r>
      <w:r>
        <w:t>VOO and especially QQQ have outperformed most international‑only funds</w:t>
      </w:r>
      <w:r>
        <w:t>, including VWICX, given the dominance of U.S. large‑cap growth and AI‑related names.[4][8]</w:t>
      </w:r>
    </w:p>
    <w:p>
      <w:r>
        <w:t>---</w:t>
      </w:r>
    </w:p>
    <w:p>
      <w:pPr>
        <w:pStyle w:val="Heading2"/>
      </w:pPr>
      <w:r>
        <w:t>2. Key Fund Metrics – VWICX (Investor Shares)</w:t>
      </w:r>
    </w:p>
    <w:p>
      <w:pPr>
        <w:pStyle w:val="Heading3"/>
      </w:pPr>
      <w:r>
        <w:t>Table 2 – Structural and Risk/Return Metrics</w:t>
      </w:r>
    </w:p>
    <w:tbl>
      <w:tblPr>
        <w:tblStyle w:val="LightGrid-Accent1"/>
        <w:tblW w:type="auto" w:w="0"/>
        <w:tblLook w:firstColumn="1" w:firstRow="1" w:lastColumn="0" w:lastRow="0" w:noHBand="0" w:noVBand="1" w:val="04A0"/>
      </w:tblPr>
      <w:tblGrid>
        <w:gridCol w:w="4320"/>
        <w:gridCol w:w="4320"/>
      </w:tblGrid>
      <w:tr>
        <w:tc>
          <w:tcPr>
            <w:tcW w:type="dxa" w:w="4320"/>
          </w:tcPr>
          <w:p>
            <w:r>
              <w:rPr>
                <w:b/>
              </w:rPr>
              <w:t>Metric</w:t>
            </w:r>
          </w:p>
        </w:tc>
        <w:tc>
          <w:tcPr>
            <w:tcW w:type="dxa" w:w="4320"/>
          </w:tcPr>
          <w:p>
            <w:r>
              <w:rPr>
                <w:b/>
              </w:rPr>
              <w:t>VWICX – Vanguard International Core Stock Fund Inv</w:t>
            </w:r>
          </w:p>
        </w:tc>
      </w:tr>
      <w:tr>
        <w:tc>
          <w:tcPr>
            <w:tcW w:type="dxa" w:w="4320"/>
          </w:tcPr>
          <w:p>
            <w:r>
              <w:t>Investment category / segment</w:t>
            </w:r>
          </w:p>
        </w:tc>
        <w:tc>
          <w:tcPr>
            <w:tcW w:type="dxa" w:w="4320"/>
          </w:tcPr>
          <w:p>
            <w:r>
              <w:t>Foreign large‑blend (diversified non‑U.S. equity across value/growth and cap spectrum).[4][7][8]</w:t>
            </w:r>
          </w:p>
        </w:tc>
      </w:tr>
      <w:tr>
        <w:tc>
          <w:tcPr>
            <w:tcW w:type="dxa" w:w="4320"/>
          </w:tcPr>
          <w:p>
            <w:r>
              <w:t>Primary benchmark index</w:t>
            </w:r>
          </w:p>
        </w:tc>
        <w:tc>
          <w:tcPr>
            <w:tcW w:type="dxa" w:w="4320"/>
          </w:tcPr>
          <w:p>
            <w:r>
              <w:t>MSCI ACWI ex USA Index (per N‑1A: “MSCI ACWI ex USA Index Member”).[VWICX_N-1A_485BPOS_2025-01-31][7][8]</w:t>
            </w:r>
          </w:p>
        </w:tc>
      </w:tr>
      <w:tr>
        <w:tc>
          <w:tcPr>
            <w:tcW w:type="dxa" w:w="4320"/>
          </w:tcPr>
          <w:p>
            <w:r>
              <w:t>Net expense ratio (Investor)</w:t>
            </w:r>
          </w:p>
        </w:tc>
        <w:tc>
          <w:tcPr>
            <w:tcW w:type="dxa" w:w="4320"/>
          </w:tcPr>
          <w:p>
            <w:r>
              <w:t>0.49% (semi‑annual report and Schwab/Fidelity profiles).[VWICX_N-CSRS_2025-05-30][6][7]</w:t>
            </w:r>
          </w:p>
        </w:tc>
      </w:tr>
      <w:tr>
        <w:tc>
          <w:tcPr>
            <w:tcW w:type="dxa" w:w="4320"/>
          </w:tcPr>
          <w:p>
            <w:r>
              <w:t>Net expense ratio (Admiral VZICX)</w:t>
            </w:r>
          </w:p>
        </w:tc>
        <w:tc>
          <w:tcPr>
            <w:tcW w:type="dxa" w:w="4320"/>
          </w:tcPr>
          <w:p>
            <w:r>
              <w:t>0.39%.[VWICX_N-CSRS_2025-05-30]</w:t>
            </w:r>
          </w:p>
        </w:tc>
      </w:tr>
      <w:tr>
        <w:tc>
          <w:tcPr>
            <w:tcW w:type="dxa" w:w="4320"/>
          </w:tcPr>
          <w:p>
            <w:r>
              <w:t>Assets under management</w:t>
            </w:r>
          </w:p>
        </w:tc>
        <w:tc>
          <w:tcPr>
            <w:tcW w:type="dxa" w:w="4320"/>
          </w:tcPr>
          <w:p>
            <w:r>
              <w:t>≈$2.46 billion total as of 3/31/2025 (both share classes).[VWICX_N-CSRS_2025-05-30]</w:t>
            </w:r>
          </w:p>
        </w:tc>
      </w:tr>
      <w:tr>
        <w:tc>
          <w:tcPr>
            <w:tcW w:type="dxa" w:w="4320"/>
          </w:tcPr>
          <w:p>
            <w:r>
              <w:t>Distribution yield (SEC or trailing 12‑mo)</w:t>
            </w:r>
          </w:p>
        </w:tc>
        <w:tc>
          <w:tcPr>
            <w:tcW w:type="dxa" w:w="4320"/>
          </w:tcPr>
          <w:p>
            <w:r>
              <w:t>Yield is reported on Vanguard and Schwab profiles but the exact % is not cleanly machine‑readable from current filings; therefore I list N/A rather than infer.[4][6]</w:t>
            </w:r>
          </w:p>
        </w:tc>
      </w:tr>
      <w:tr>
        <w:tc>
          <w:tcPr>
            <w:tcW w:type="dxa" w:w="4320"/>
          </w:tcPr>
          <w:p>
            <w:r>
              <w:t>Distribution frequency</w:t>
            </w:r>
          </w:p>
        </w:tc>
        <w:tc>
          <w:tcPr>
            <w:tcW w:type="dxa" w:w="4320"/>
          </w:tcPr>
          <w:p>
            <w:r>
              <w:t>Annual capital gains; income distributions typically annual as well (Vanguard standard for many international equity funds; distributions reported once per year in financial highlights).[VWICX_N-CSR_2025-11-28]</w:t>
            </w:r>
          </w:p>
        </w:tc>
      </w:tr>
      <w:tr>
        <w:tc>
          <w:tcPr>
            <w:tcW w:type="dxa" w:w="4320"/>
          </w:tcPr>
          <w:p>
            <w:r>
              <w:t>5‑year annualized total return (Investor)</w:t>
            </w:r>
          </w:p>
        </w:tc>
        <w:tc>
          <w:tcPr>
            <w:tcW w:type="dxa" w:w="4320"/>
          </w:tcPr>
          <w:p>
            <w:r>
              <w:t>See above – reported in Schwab/Morningstar profile as a high‑single‑digit annualized figure; exact line item not fully extractable from PDF text, so I treat the numeric as N/A here instead of quoting a potentially imprecise value.[6][8]</w:t>
            </w:r>
          </w:p>
        </w:tc>
      </w:tr>
      <w:tr>
        <w:tc>
          <w:tcPr>
            <w:tcW w:type="dxa" w:w="4320"/>
          </w:tcPr>
          <w:p>
            <w:r>
              <w:t>Standard deviation (5‑yr)</w:t>
            </w:r>
          </w:p>
        </w:tc>
        <w:tc>
          <w:tcPr>
            <w:tcW w:type="dxa" w:w="4320"/>
          </w:tcPr>
          <w:p>
            <w:r>
              <w:t>Morningstar and Schwab show 3‑ and 5‑year volatility, but the precise numeric is not cleanly extractable from their pages in text form; therefore N/A here.[6][8]</w:t>
            </w:r>
          </w:p>
        </w:tc>
      </w:tr>
      <w:tr>
        <w:tc>
          <w:tcPr>
            <w:tcW w:type="dxa" w:w="4320"/>
          </w:tcPr>
          <w:p>
            <w:r>
              <w:t>Beta vs S&amp;P 500 (VOO proxy)</w:t>
            </w:r>
          </w:p>
        </w:tc>
        <w:tc>
          <w:tcPr>
            <w:tcW w:type="dxa" w:w="4320"/>
          </w:tcPr>
          <w:p>
            <w:r>
              <w:t>Morningstar lists a 3‑year beta vs world/market benchmarks, but the exact value is not consistently machine‑readable; I therefore show N/A instead of approximating.[8]</w:t>
            </w:r>
          </w:p>
        </w:tc>
      </w:tr>
      <w:tr>
        <w:tc>
          <w:tcPr>
            <w:tcW w:type="dxa" w:w="4320"/>
          </w:tcPr>
          <w:p>
            <w:r>
              <w:t>Tracking difference vs benchmark (5‑yr)</w:t>
            </w:r>
          </w:p>
        </w:tc>
        <w:tc>
          <w:tcPr>
            <w:tcW w:type="dxa" w:w="4320"/>
          </w:tcPr>
          <w:p>
            <w:r>
              <w:t>Not explicitly provided as a single “tracking difference” statistic in Vanguard, Schwab, Fidelity, or Morningstar materials; N/A.</w:t>
            </w:r>
          </w:p>
        </w:tc>
      </w:tr>
      <w:tr>
        <w:tc>
          <w:tcPr>
            <w:tcW w:type="dxa" w:w="4320"/>
          </w:tcPr>
          <w:p>
            <w:r>
              <w:t>Inception date (Investor)</w:t>
            </w:r>
          </w:p>
        </w:tc>
        <w:tc>
          <w:tcPr>
            <w:tcW w:type="dxa" w:w="4320"/>
          </w:tcPr>
          <w:p>
            <w:r>
              <w:t>October 2019 (subscription period Oct 1–15, 2019; performance measurement from 10/16/2019).[VWICX_N-CSR_2025-11-28]</w:t>
            </w:r>
          </w:p>
        </w:tc>
      </w:tr>
    </w:tbl>
    <w:p/>
    <w:p>
      <w:r>
        <w:t>---</w:t>
      </w:r>
    </w:p>
    <w:p>
      <w:pPr>
        <w:pStyle w:val="Heading2"/>
      </w:pPr>
      <w:r>
        <w:t>3. Portfolio Composition and Exposures (VWICX)</w:t>
      </w:r>
    </w:p>
    <w:p>
      <w:r>
        <w:t xml:space="preserve">All portfolio composition data below is </w:t>
      </w:r>
      <w:r>
        <w:t>as of March 31, 2025</w:t>
      </w:r>
      <w:r>
        <w:t>, from the semi‑annual report and Vanguard profile.[VWICX_N-CSRS_2025-05-30][4]</w:t>
      </w:r>
    </w:p>
    <w:p>
      <w:pPr>
        <w:pStyle w:val="Heading3"/>
      </w:pPr>
      <w:r>
        <w:t>Table 3 – Portfolio Structure</w:t>
      </w:r>
    </w:p>
    <w:tbl>
      <w:tblPr>
        <w:tblStyle w:val="LightGrid-Accent1"/>
        <w:tblW w:type="auto" w:w="0"/>
        <w:tblLook w:firstColumn="1" w:firstRow="1" w:lastColumn="0" w:lastRow="0" w:noHBand="0" w:noVBand="1" w:val="04A0"/>
      </w:tblPr>
      <w:tblGrid>
        <w:gridCol w:w="4320"/>
        <w:gridCol w:w="4320"/>
      </w:tblGrid>
      <w:tr>
        <w:tc>
          <w:tcPr>
            <w:tcW w:type="dxa" w:w="4320"/>
          </w:tcPr>
          <w:p>
            <w:r>
              <w:rPr>
                <w:b/>
              </w:rPr>
              <w:t>Dimension</w:t>
            </w:r>
          </w:p>
        </w:tc>
        <w:tc>
          <w:tcPr>
            <w:tcW w:type="dxa" w:w="4320"/>
          </w:tcPr>
          <w:p>
            <w:r>
              <w:rPr>
                <w:b/>
              </w:rPr>
              <w:t>VWICX – Investor/Admiral (same portfolio)</w:t>
            </w:r>
          </w:p>
        </w:tc>
      </w:tr>
      <w:tr>
        <w:tc>
          <w:tcPr>
            <w:tcW w:type="dxa" w:w="4320"/>
          </w:tcPr>
          <w:p>
            <w:r>
              <w:t>Number of holdings</w:t>
            </w:r>
          </w:p>
        </w:tc>
        <w:tc>
          <w:tcPr>
            <w:tcW w:type="dxa" w:w="4320"/>
          </w:tcPr>
          <w:p>
            <w:r>
              <w:t>94 stocks.[VWICX_N-CSRS_2025-05-30]</w:t>
            </w:r>
          </w:p>
        </w:tc>
      </w:tr>
      <w:tr>
        <w:tc>
          <w:tcPr>
            <w:tcW w:type="dxa" w:w="4320"/>
          </w:tcPr>
          <w:p>
            <w:r>
              <w:t>Top 10 holdings (% of net assets)</w:t>
            </w:r>
          </w:p>
        </w:tc>
        <w:tc>
          <w:tcPr>
            <w:tcW w:type="dxa" w:w="4320"/>
          </w:tcPr>
          <w:p>
            <w:r>
              <w:t>Top holdings as of 3/31/2025:[VWICX_N-CSRS_2025-05-30]  • Taiwan Semiconductor Manufacturing Co. – major position within Taiwan (exact % not separately broken out in text; included within 5.5% country stake in Taiwan; thus precise weight is N/A).  • Sony Group (Japan) – large Japan weight.  • Shell plc (U.K.), Novo Nordisk (Denmark), Novartis (Switzerland), TotalEnergies (France), Tencent (China), ASML (Netherlands), SAP (Germany), Mitsubishi UFJ Financial (Japan) are among largest positions. The semi‑annual report lists shares and dollar values but does not explicitly aggregate a “Top 10” table; precise weights in % are therefore N/A.</w:t>
            </w:r>
          </w:p>
        </w:tc>
      </w:tr>
      <w:tr>
        <w:tc>
          <w:tcPr>
            <w:tcW w:type="dxa" w:w="4320"/>
          </w:tcPr>
          <w:p>
            <w:r>
              <w:t>Sector weights (%)</w:t>
            </w:r>
          </w:p>
        </w:tc>
        <w:tc>
          <w:tcPr>
            <w:tcW w:type="dxa" w:w="4320"/>
          </w:tcPr>
          <w:p>
            <w:r>
              <w:t>Filing tags list sector exposures but not numeric percentages for each sector in text; they are: Communication Services, Consumer Discretionary, Consumer Staples, Energy, Financials, Health Care, Industrials, Information Technology, Materials, Real Estate, Utilities, Other net.[VWICX_N-CSR_2025-11-28] Exact % by sector are N/A in text form.</w:t>
            </w:r>
          </w:p>
        </w:tc>
      </w:tr>
      <w:tr>
        <w:tc>
          <w:tcPr>
            <w:tcW w:type="dxa" w:w="4320"/>
          </w:tcPr>
          <w:p>
            <w:r>
              <w:t>Geographic exposure</w:t>
            </w:r>
          </w:p>
        </w:tc>
        <w:tc>
          <w:tcPr>
            <w:tcW w:type="dxa" w:w="4320"/>
          </w:tcPr>
          <w:p>
            <w:r>
              <w:t>As of 3/31/2025 (Fund composition table):[VWICX_N-CSRS_2025-05-30]  • Asia: 42.0%  • Europe: 43.2%  • North America (non‑U.S., mostly Canada): 6.9%  • Oceania: 2.9%  • South America: 1.8%  • Other: 1.7%  • Other assets &amp; liabilities net: 1.5%  The fund invests predominantly outside the U.S.; U.S. exposure, if any, is incidental via ETFs (e.g., small stake in Vanguard FTSE Developed Markets ETF) and cash instruments.[VWICX_N-CSRS_2025-05-30]</w:t>
            </w:r>
          </w:p>
        </w:tc>
      </w:tr>
      <w:tr>
        <w:tc>
          <w:tcPr>
            <w:tcW w:type="dxa" w:w="4320"/>
          </w:tcPr>
          <w:p>
            <w:r>
              <w:t>Market‑cap breakdown</w:t>
            </w:r>
          </w:p>
        </w:tc>
        <w:tc>
          <w:tcPr>
            <w:tcW w:type="dxa" w:w="4320"/>
          </w:tcPr>
          <w:p>
            <w:r>
              <w:t>Vanguard/Morningstar classify it as all‑cap foreign large‑blend with a tilt to large/mid‑cap. Exact % large/mid/small not clearly transcribed from those sites; therefore N/A.[4][8]</w:t>
            </w:r>
          </w:p>
        </w:tc>
      </w:tr>
    </w:tbl>
    <w:p/>
    <w:p>
      <w:r>
        <w:t>---</w:t>
      </w:r>
    </w:p>
    <w:p>
      <w:pPr>
        <w:pStyle w:val="Heading2"/>
      </w:pPr>
      <w:r>
        <w:t>4. Investment Objective, Philosophy, and Portfolio Construction</w:t>
      </w:r>
    </w:p>
    <w:p>
      <w:pPr>
        <w:pStyle w:val="Heading3"/>
      </w:pPr>
      <w:r>
        <w:t>Objective and mandate</w:t>
      </w:r>
    </w:p>
    <w:p>
      <w:r>
        <w:t xml:space="preserve">VWICX’s stated objective is to </w:t>
      </w:r>
      <w:r>
        <w:t>provide long‑term capital appreciation</w:t>
      </w:r>
      <w:r>
        <w:t xml:space="preserve"> by investing “predominantly in the stocks of companies located outside the United States” that the advisor believes offer a good balance between valuation and growth (“core” style).[7][8] It normally keeps at least </w:t>
      </w:r>
      <w:r>
        <w:t>80% of assets in equity securities</w:t>
      </w:r>
      <w:r>
        <w:t>.[VWICX_N-1A_485BPOS_2025-01-31]</w:t>
      </w:r>
    </w:p>
    <w:p>
      <w:pPr>
        <w:pStyle w:val="Heading3"/>
      </w:pPr>
      <w:r>
        <w:t>Index / benchmark and “core” style</w:t>
      </w:r>
    </w:p>
    <w:p>
      <w:r>
        <w:t xml:space="preserve">The fund’s primary benchmark is the </w:t>
      </w:r>
      <w:r>
        <w:t>MSCI ACWI ex USA Index</w:t>
      </w:r>
      <w:r>
        <w:t xml:space="preserve">, a broad, float‑adjusted, market‑cap‑weighted index of </w:t>
      </w:r>
      <w:r>
        <w:t>developed and emerging market equities outside the U.S.</w:t>
      </w:r>
      <w:r>
        <w:t>[VWICX_N-1A_485BPOS_2025-01-31][8]</w:t>
      </w:r>
    </w:p>
    <w:p>
      <w:r>
        <w:t xml:space="preserve">Strategy is not benchmark‑hugging; it is </w:t>
      </w:r>
      <w:r>
        <w:t>actively managed</w:t>
      </w:r>
      <w:r>
        <w:t xml:space="preserve"> using a </w:t>
      </w:r>
      <w:r>
        <w:t>multi‑manager, bottom‑up</w:t>
      </w:r>
      <w:r>
        <w:t xml:space="preserve"> approach drawing on several sub‑advisers (Baillie Gifford, Pzena, Wellington) with complementary growth and value sleeves for the Global Equity Fund; Vanguard uses an analogous framework here: a mix of </w:t>
      </w:r>
      <w:r>
        <w:t>growth and value disciplines</w:t>
      </w:r>
      <w:r>
        <w:t xml:space="preserve"> to produce a </w:t>
      </w:r>
      <w:r>
        <w:t>core</w:t>
      </w:r>
      <w:r>
        <w:t xml:space="preserve"> international exposure.[VWICX_N-1A_Pre-Effective_485APOS_2022-11-21][7][8]</w:t>
      </w:r>
    </w:p>
    <w:p>
      <w:pPr>
        <w:pStyle w:val="Heading3"/>
      </w:pPr>
      <w:r>
        <w:t>Portfolio construction and tilts</w:t>
      </w:r>
    </w:p>
    <w:p>
      <w:r>
        <w:t>From the semi‑annual holdings:[VWICX_N-CSRS_2025-05-30]</w:t>
      </w:r>
    </w:p>
    <w:p>
      <w:pPr>
        <w:pStyle w:val="ListBullet"/>
      </w:pPr>
      <w:r>
        <w:t>Diversified by region</w:t>
      </w:r>
      <w:r>
        <w:t xml:space="preserve"> – roughly </w:t>
      </w:r>
      <w:r>
        <w:t>40%+ Asia</w:t>
      </w:r>
      <w:r>
        <w:t xml:space="preserve">, </w:t>
      </w:r>
      <w:r>
        <w:t>40%+ Europe</w:t>
      </w:r>
      <w:r>
        <w:t>, modest Canada/other developed, plus selective EM (China, India, Brazil, Saudi Arabia, UAE).</w:t>
      </w:r>
    </w:p>
    <w:p>
      <w:pPr>
        <w:pStyle w:val="ListBullet"/>
      </w:pPr>
      <w:r>
        <w:t>Sector mix</w:t>
      </w:r>
      <w:r>
        <w:t xml:space="preserve"> – all GICS sectors represented; meaningful allocations to </w:t>
      </w:r>
      <w:r>
        <w:t>financials (banks, insurers), industrials, health care, information technology, energy, and consumer</w:t>
      </w:r>
      <w:r>
        <w:t xml:space="preserve"> names.[VWICX_N-CSR_2025-11-28]</w:t>
      </w:r>
    </w:p>
    <w:p>
      <w:pPr>
        <w:pStyle w:val="ListBullet"/>
      </w:pPr>
      <w:r>
        <w:t>Concentration</w:t>
      </w:r>
      <w:r>
        <w:t xml:space="preserve"> – 94 holdings is </w:t>
      </w:r>
      <w:r>
        <w:t>relatively focused</w:t>
      </w:r>
      <w:r>
        <w:t xml:space="preserve"> for a diversified international fund. This allows </w:t>
      </w:r>
      <w:r>
        <w:t>stock‑specific alpha</w:t>
      </w:r>
      <w:r>
        <w:t xml:space="preserve"> but keeps idiosyncratic risk manageable.</w:t>
      </w:r>
    </w:p>
    <w:p>
      <w:pPr>
        <w:pStyle w:val="ListBullet"/>
      </w:pPr>
      <w:r>
        <w:t>Stock selection examples</w:t>
      </w:r>
      <w:r>
        <w:t>:</w:t>
      </w:r>
    </w:p>
    <w:p>
      <w:pPr>
        <w:pStyle w:val="ListBullet"/>
      </w:pPr>
      <w:r>
        <w:t xml:space="preserve">Quality growth/compounders: </w:t>
      </w:r>
      <w:r>
        <w:t>TSMC, ASML, Novo Nordisk, Sony, Novartis, AstraZeneca, SAP, Tencent, BYD, MediaTek</w:t>
      </w:r>
      <w:r>
        <w:t>.[VWICX_N-CSRS_2025-05-30]</w:t>
      </w:r>
    </w:p>
    <w:p>
      <w:pPr>
        <w:pStyle w:val="ListBullet"/>
      </w:pPr>
      <w:r>
        <w:t xml:space="preserve">Value/cyclical plays: </w:t>
      </w:r>
      <w:r>
        <w:t>Shell, TotalEnergies, Glencore, big European and Japanese banks (Mitsubishi UFJ, Mizuho, Societe Generale, AIB, FinecoBank), industrials like Siemens, FANUC, Rheinmetall</w:t>
      </w:r>
      <w:r>
        <w:t>.[VWICX_N-CSRS_2025-05-30]</w:t>
      </w:r>
    </w:p>
    <w:p>
      <w:pPr>
        <w:pStyle w:val="ListBullet"/>
      </w:pPr>
      <w:r>
        <w:t xml:space="preserve">Consumer and services: </w:t>
      </w:r>
      <w:r>
        <w:t>Tesco, Wal‑Mart de Mexico, Industria de Diseño Textil (Inditex), Accor, Yum China, Trip.com, Spotify, Varun Beverages</w:t>
      </w:r>
      <w:r>
        <w:t>.[VWICX_N-CSRS_2025-05-30]</w:t>
      </w:r>
    </w:p>
    <w:p>
      <w:r>
        <w:rPr>
          <w:b/>
        </w:rPr>
        <w:t>Style/factor exposure</w:t>
      </w:r>
    </w:p>
    <w:p>
      <w:pPr>
        <w:pStyle w:val="ListBullet"/>
      </w:pPr>
      <w:r>
        <w:t xml:space="preserve">Net result is a </w:t>
      </w:r>
      <w:r>
        <w:t>balanced “core” factor profile</w:t>
      </w:r>
      <w:r>
        <w:t>:</w:t>
      </w:r>
    </w:p>
    <w:p>
      <w:pPr>
        <w:pStyle w:val="ListBullet"/>
      </w:pPr>
      <w:r>
        <w:t>Quality and profitability</w:t>
      </w:r>
      <w:r>
        <w:t xml:space="preserve"> via global champions (TSMC, ASML, Novo Nordisk).</w:t>
      </w:r>
    </w:p>
    <w:p>
      <w:pPr>
        <w:pStyle w:val="ListBullet"/>
      </w:pPr>
      <w:r>
        <w:t>Reasonable value</w:t>
      </w:r>
      <w:r>
        <w:t xml:space="preserve"> via banks, energy, and materials, giving exposure to </w:t>
      </w:r>
      <w:r>
        <w:t>cyclical recoveries, inflation beneficiaries, and traditional value factors</w:t>
      </w:r>
      <w:r>
        <w:t>.</w:t>
      </w:r>
    </w:p>
    <w:p>
      <w:pPr>
        <w:pStyle w:val="ListBullet"/>
      </w:pPr>
      <w:r>
        <w:t xml:space="preserve">Some </w:t>
      </w:r>
      <w:r>
        <w:t>growth and innovation</w:t>
      </w:r>
      <w:r>
        <w:t xml:space="preserve"> tilt via Chinese internet (Tencent, Meituan), Indian IT (Tech Mahindra), and platform/IT names (Spotify, MediaTek).[VWICX_N-CSRS_2025-05-30]</w:t>
      </w:r>
    </w:p>
    <w:p>
      <w:r>
        <w:t xml:space="preserve">Relative to </w:t>
      </w:r>
      <w:r>
        <w:t>VOO</w:t>
      </w:r>
      <w:r>
        <w:t xml:space="preserve"> and </w:t>
      </w:r>
      <w:r>
        <w:t>QQQ</w:t>
      </w:r>
      <w:r>
        <w:t>:</w:t>
      </w:r>
    </w:p>
    <w:p>
      <w:r>
        <w:t xml:space="preserve">VWICX structurally has </w:t>
      </w:r>
      <w:r>
        <w:t>less mega‑cap U.S. tech</w:t>
      </w:r>
      <w:r>
        <w:t xml:space="preserve"> and more exposure to </w:t>
      </w:r>
      <w:r>
        <w:t>non‑U.S. financials, industrials, energy, and local consumer franchises</w:t>
      </w:r>
      <w:r>
        <w:t>.</w:t>
      </w:r>
    </w:p>
    <w:p>
      <w:r>
        <w:t xml:space="preserve">That means </w:t>
      </w:r>
      <w:r>
        <w:t>different factor drivers</w:t>
      </w:r>
      <w:r>
        <w:t xml:space="preserve">: more tied to </w:t>
      </w:r>
      <w:r>
        <w:t>global value, FX, commodity prices, and local economic cycles</w:t>
      </w:r>
      <w:r>
        <w:t>, and less to the U.S. large‑cap growth/AI cycle that dominates QQQ.</w:t>
      </w:r>
    </w:p>
    <w:p>
      <w:r>
        <w:t>---</w:t>
      </w:r>
    </w:p>
    <w:p>
      <w:pPr>
        <w:pStyle w:val="Heading2"/>
      </w:pPr>
      <w:r>
        <w:t>5. Fees and Trading Characteristics</w:t>
      </w:r>
    </w:p>
    <w:p>
      <w:pPr>
        <w:pStyle w:val="Heading3"/>
      </w:pPr>
      <w:r>
        <w:t>Fees vs peers and vs VOO/QQQ</w:t>
      </w:r>
    </w:p>
    <w:p>
      <w:pPr>
        <w:pStyle w:val="ListBullet"/>
      </w:pPr>
      <w:r>
        <w:t>VWICX expense ratio – Investor: 0.49%; Admiral: 0.39%.</w:t>
      </w:r>
      <w:r>
        <w:t>[VWICX_N-CSRS_2025-05-30]</w:t>
      </w:r>
    </w:p>
    <w:p>
      <w:pPr>
        <w:pStyle w:val="ListBullet"/>
      </w:pPr>
      <w:r>
        <w:t xml:space="preserve">These are </w:t>
      </w:r>
      <w:r>
        <w:t>very low for an actively managed international equity fund</w:t>
      </w:r>
      <w:r>
        <w:t xml:space="preserve">; Morningstar and Vanguard note the average foreign large‑blend active fund often charges </w:t>
      </w:r>
      <w:r>
        <w:t>~0.80–1.00%+</w:t>
      </w:r>
      <w:r>
        <w:t xml:space="preserve">, so VWICX is </w:t>
      </w:r>
      <w:r>
        <w:t>structurally advantaged on fees</w:t>
      </w:r>
      <w:r>
        <w:t>.[8]</w:t>
      </w:r>
    </w:p>
    <w:p>
      <w:pPr>
        <w:pStyle w:val="ListBullet"/>
      </w:pPr>
      <w:r>
        <w:t>By contrast:</w:t>
      </w:r>
    </w:p>
    <w:p>
      <w:pPr>
        <w:pStyle w:val="ListBullet"/>
      </w:pPr>
      <w:r>
        <w:t>VOO</w:t>
      </w:r>
      <w:r>
        <w:t xml:space="preserve"> (S&amp;P 500 ETF) charges about </w:t>
      </w:r>
      <w:r>
        <w:t>0.03%</w:t>
      </w:r>
      <w:r>
        <w:t xml:space="preserve"> – nearly pure beta at rock‑bottom cost.[4]</w:t>
      </w:r>
    </w:p>
    <w:p>
      <w:pPr>
        <w:pStyle w:val="ListBullet"/>
      </w:pPr>
      <w:r>
        <w:t>QQQ</w:t>
      </w:r>
      <w:r>
        <w:t xml:space="preserve"> charges about </w:t>
      </w:r>
      <w:r>
        <w:t>0.20%</w:t>
      </w:r>
      <w:r>
        <w:t xml:space="preserve"> – cheap for a concentrated growth index but still higher than VOO.[8]</w:t>
      </w:r>
    </w:p>
    <w:p>
      <w:r>
        <w:t xml:space="preserve">So relative to </w:t>
      </w:r>
      <w:r>
        <w:t>passive U.S. ETFs</w:t>
      </w:r>
      <w:r>
        <w:t xml:space="preserve">, VWICX carries a higher fee, as expected for active international equity; relative to its </w:t>
      </w:r>
      <w:r>
        <w:t>active international peer group</w:t>
      </w:r>
      <w:r>
        <w:t xml:space="preserve">, it is </w:t>
      </w:r>
      <w:r>
        <w:t>cost‑competitive and often cheaper</w:t>
      </w:r>
      <w:r>
        <w:t>.</w:t>
      </w:r>
    </w:p>
    <w:p>
      <w:pPr>
        <w:pStyle w:val="Heading3"/>
      </w:pPr>
      <w:r>
        <w:t>Liquidity and trading</w:t>
      </w:r>
    </w:p>
    <w:p>
      <w:r>
        <w:t xml:space="preserve">VWICX is an </w:t>
      </w:r>
      <w:r>
        <w:t>open‑end mutual fund</w:t>
      </w:r>
      <w:r>
        <w:t xml:space="preserve"> – trades </w:t>
      </w:r>
      <w:r>
        <w:t>once per day at NAV</w:t>
      </w:r>
      <w:r>
        <w:t>, no intraday bid/ask spread or ETF premium/discount issues.[4][7]</w:t>
      </w:r>
    </w:p>
    <w:p>
      <w:r>
        <w:t xml:space="preserve">With </w:t>
      </w:r>
      <w:r>
        <w:t>~$2.46B in AUM and 94 holdings</w:t>
      </w:r>
      <w:r>
        <w:t xml:space="preserve">, underlying positions are large liquid global stocks; portfolio turnover around </w:t>
      </w:r>
      <w:r>
        <w:t>40–70%</w:t>
      </w:r>
      <w:r>
        <w:t xml:space="preserve"> historically is moderate, supporting </w:t>
      </w:r>
      <w:r>
        <w:t>efficient execution and tax management</w:t>
      </w:r>
      <w:r>
        <w:t>.[VWICX_N-CSRS_2025-05-30][VWICX_N-CSR_2025-11-28]</w:t>
      </w:r>
    </w:p>
    <w:p>
      <w:r>
        <w:t>---</w:t>
      </w:r>
    </w:p>
    <w:p>
      <w:pPr>
        <w:pStyle w:val="Heading2"/>
      </w:pPr>
      <w:r>
        <w:t>6. Historical Performance vs Benchmark and U.S. ETFs</w:t>
      </w:r>
    </w:p>
    <w:p>
      <w:pPr>
        <w:pStyle w:val="Heading3"/>
      </w:pPr>
      <w:r>
        <w:t>Time horizons and pattern</w:t>
      </w:r>
    </w:p>
    <w:p>
      <w:r>
        <w:t>From the financial highlights (Investor Shares):[VWICX_N-CSR_2025-11-28]</w:t>
      </w:r>
    </w:p>
    <w:p>
      <w:pPr>
        <w:pStyle w:val="ListBullet"/>
      </w:pPr>
      <w:r>
        <w:t>Since performance inception (10/2019)</w:t>
      </w:r>
      <w:r>
        <w:t xml:space="preserve">: NAV grew from </w:t>
      </w:r>
      <w:r>
        <w:t>$10.00 to $13.72</w:t>
      </w:r>
      <w:r>
        <w:t xml:space="preserve"> by 3/31/2025, plus reinvested distributions – a solid nominal gain despite COVID and 2022 drawdowns.</w:t>
      </w:r>
    </w:p>
    <w:p>
      <w:pPr>
        <w:pStyle w:val="ListBullet"/>
      </w:pPr>
      <w:r>
        <w:t>Calendar/fiscal years</w:t>
      </w:r>
      <w:r>
        <w:t xml:space="preserve"> (Investor):</w:t>
      </w:r>
    </w:p>
    <w:p>
      <w:pPr>
        <w:pStyle w:val="ListBullet"/>
      </w:pPr>
      <w:r>
        <w:t xml:space="preserve">FY 2021: </w:t>
      </w:r>
      <w:r>
        <w:t>+28.44%</w:t>
      </w:r>
    </w:p>
    <w:p>
      <w:pPr>
        <w:pStyle w:val="ListBullet"/>
      </w:pPr>
      <w:r>
        <w:t xml:space="preserve">FY 2022: </w:t>
      </w:r>
      <w:r>
        <w:t>–20.00%</w:t>
      </w:r>
      <w:r>
        <w:t xml:space="preserve"> (global growth/EM and Europe selloff, rising rates, war in Ukraine).</w:t>
      </w:r>
    </w:p>
    <w:p>
      <w:pPr>
        <w:pStyle w:val="ListBullet"/>
      </w:pPr>
      <w:r>
        <w:t xml:space="preserve">FY 2023: </w:t>
      </w:r>
      <w:r>
        <w:t>+19.47%</w:t>
      </w:r>
    </w:p>
    <w:p>
      <w:pPr>
        <w:pStyle w:val="ListBullet"/>
      </w:pPr>
      <w:r>
        <w:t xml:space="preserve">FY 2024: </w:t>
      </w:r>
      <w:r>
        <w:t>+27.08%</w:t>
      </w:r>
      <w:r>
        <w:t>[VWICX_N-CSR_2025-11-28]</w:t>
      </w:r>
    </w:p>
    <w:p>
      <w:r>
        <w:t xml:space="preserve">This profile is consistent with </w:t>
      </w:r>
      <w:r>
        <w:t>global ex‑U.S. equities</w:t>
      </w:r>
      <w:r>
        <w:t>: volatile, but strong rebounds when global risk appetite and earnings recover.</w:t>
      </w:r>
    </w:p>
    <w:p>
      <w:pPr>
        <w:pStyle w:val="Heading3"/>
      </w:pPr>
      <w:r>
        <w:t>Versus stated benchmark (MSCI ACWI ex USA)</w:t>
      </w:r>
    </w:p>
    <w:p>
      <w:r>
        <w:t xml:space="preserve">The N‑CSR includes index comparison data (returns vs MSCI ACWI ex USA), but the exact numeric relative performance (e.g., excess return in bps) is not fully visible in the text stream. Historically, Vanguard’s multi‑manager global strategies tend to </w:t>
      </w:r>
      <w:r>
        <w:t>roughly match or modestly outperform</w:t>
      </w:r>
      <w:r>
        <w:t xml:space="preserve"> their benchmarks over long horizons, helped by stock‑picking and low fees, but:</w:t>
      </w:r>
    </w:p>
    <w:p>
      <w:r>
        <w:t xml:space="preserve">Because I do not have a clean numeric </w:t>
      </w:r>
      <w:r>
        <w:t>5‑year excess return line</w:t>
      </w:r>
      <w:r>
        <w:t>, I will not claim a specific alpha number.</w:t>
      </w:r>
    </w:p>
    <w:p>
      <w:r>
        <w:t xml:space="preserve">From the reported pattern – strong positive years 2021, 2023, 2024 and only one big down year 2022 – VWICX’s </w:t>
      </w:r>
      <w:r>
        <w:t>since‑inception CAGR likely tracks the MSCI ACWI ex USA index within roughly ±1% annualized</w:t>
      </w:r>
      <w:r>
        <w:t>, with periods of modest relative out‑/under‑performance depending on style rotation.[VWICX_N-CSR_2025-11-28][8]</w:t>
      </w:r>
    </w:p>
    <w:p>
      <w:pPr>
        <w:pStyle w:val="Heading3"/>
      </w:pPr>
      <w:r>
        <w:t>Versus U.S. broad market (VOO) and growth (QQQ)</w:t>
      </w:r>
    </w:p>
    <w:p>
      <w:pPr>
        <w:pStyle w:val="ListBullet"/>
      </w:pPr>
      <w:r>
        <w:t xml:space="preserve">Over </w:t>
      </w:r>
      <w:r>
        <w:t>2020–2024</w:t>
      </w:r>
      <w:r>
        <w:t xml:space="preserve">, </w:t>
      </w:r>
      <w:r>
        <w:t>VOO and especially QQQ have materially outpaced international ex‑U.S. benchmarks</w:t>
      </w:r>
      <w:r>
        <w:t>, helped by U.S. mega‑cap tech, AI, and stronger U.S. earnings/FX tailwinds.[4][8]</w:t>
      </w:r>
    </w:p>
    <w:p>
      <w:pPr>
        <w:pStyle w:val="ListBullet"/>
      </w:pPr>
      <w:r>
        <w:t xml:space="preserve">Consequently, a </w:t>
      </w:r>
      <w:r>
        <w:t>U.S. investor comparing cumulative returns</w:t>
      </w:r>
      <w:r>
        <w:t xml:space="preserve"> would see:</w:t>
      </w:r>
    </w:p>
    <w:p>
      <w:pPr>
        <w:pStyle w:val="ListBullet"/>
      </w:pPr>
      <w:r>
        <w:t>QQQ &gt; VOO &gt; VWICX</w:t>
      </w:r>
      <w:r>
        <w:t xml:space="preserve"> over 5 years, in simple performance terms.</w:t>
      </w:r>
    </w:p>
    <w:p>
      <w:pPr>
        <w:pStyle w:val="ListBullet"/>
      </w:pPr>
      <w:r>
        <w:t xml:space="preserve">But on a </w:t>
      </w:r>
      <w:r>
        <w:t>diversification and risk‑adjusted basis</w:t>
      </w:r>
      <w:r>
        <w:t>, VWICX has offered:</w:t>
      </w:r>
    </w:p>
    <w:p>
      <w:pPr>
        <w:pStyle w:val="ListBullet"/>
      </w:pPr>
      <w:r>
        <w:t>Lower correlation to U.S. growth</w:t>
      </w:r>
      <w:r>
        <w:t>.</w:t>
      </w:r>
    </w:p>
    <w:p>
      <w:pPr>
        <w:pStyle w:val="ListBullet"/>
      </w:pPr>
      <w:r>
        <w:t xml:space="preserve">Opportunities in </w:t>
      </w:r>
      <w:r>
        <w:t>value/commodity and FX‑levered markets</w:t>
      </w:r>
      <w:r>
        <w:t xml:space="preserve"> that behave differently than U.S. large‑cap tech.</w:t>
      </w:r>
    </w:p>
    <w:p>
      <w:r>
        <w:t>---</w:t>
      </w:r>
    </w:p>
    <w:p>
      <w:pPr>
        <w:pStyle w:val="Heading2"/>
      </w:pPr>
      <w:r>
        <w:t>7. Risk/Return Characteristics</w:t>
      </w:r>
    </w:p>
    <w:p>
      <w:r>
        <w:t>From the financial highlights and portfolio data:[VWICX_N-CSR_2025-11-28][VWICX_N-CSRS_2025-05-30]</w:t>
      </w:r>
    </w:p>
    <w:p>
      <w:pPr>
        <w:pStyle w:val="ListBullet"/>
      </w:pPr>
      <w:r>
        <w:t>Volatility</w:t>
      </w:r>
      <w:r>
        <w:t xml:space="preserve"> – Annual total returns have ranged from </w:t>
      </w:r>
      <w:r>
        <w:t>–20% (2022)</w:t>
      </w:r>
      <w:r>
        <w:t xml:space="preserve"> to </w:t>
      </w:r>
      <w:r>
        <w:t>+28–29% (2021, 2024)</w:t>
      </w:r>
      <w:r>
        <w:t xml:space="preserve">. That’s typical equity‑like volatility, roughly similar to broad international indices; QQQ’s drawdowns and upside swings have tended to be </w:t>
      </w:r>
      <w:r>
        <w:t>even larger</w:t>
      </w:r>
      <w:r>
        <w:t xml:space="preserve">, while VOO has had somewhat </w:t>
      </w:r>
      <w:r>
        <w:t>smoother</w:t>
      </w:r>
      <w:r>
        <w:t xml:space="preserve"> volatility by comparison.</w:t>
      </w:r>
    </w:p>
    <w:p>
      <w:pPr>
        <w:pStyle w:val="ListBullet"/>
      </w:pPr>
      <w:r>
        <w:t>Drawdowns</w:t>
      </w:r>
      <w:r>
        <w:t xml:space="preserve"> – Largest recent drawdown coincides with </w:t>
      </w:r>
      <w:r>
        <w:t>2022 global equity sell‑off</w:t>
      </w:r>
      <w:r>
        <w:t>, when rising rates, strong USD, China and Europe macro worries, and the Ukraine war hit international cyclicals and growth simultaneously.</w:t>
      </w:r>
    </w:p>
    <w:p>
      <w:pPr>
        <w:pStyle w:val="ListBullet"/>
      </w:pPr>
      <w:r>
        <w:t>Beta</w:t>
      </w:r>
      <w:r>
        <w:t xml:space="preserve"> – While we lack a precise numeric, Morningstar classifies the fund with </w:t>
      </w:r>
      <w:r>
        <w:t>market‑like beta vs world/foreign equity indexes</w:t>
      </w:r>
      <w:r>
        <w:t xml:space="preserve"> – i.e., not a low‑volatility strategy.[8]</w:t>
      </w:r>
    </w:p>
    <w:p>
      <w:pPr>
        <w:pStyle w:val="ListBullet"/>
      </w:pPr>
      <w:r>
        <w:t>Tracking error</w:t>
      </w:r>
      <w:r>
        <w:t xml:space="preserve"> – With 94 holdings and active stock‑picking, the fund inevitably incurs some </w:t>
      </w:r>
      <w:r>
        <w:t>tracking error vs MSCI ACWI ex USA</w:t>
      </w:r>
      <w:r>
        <w:t>, driven by regional tilts (e.g., heavier Japan, selective China) and sector concentrations (financials, industrials, tech, energy).[VWICX_N-CSRS_2025-05-30]</w:t>
      </w:r>
    </w:p>
    <w:p>
      <w:r>
        <w:t>Relative to:</w:t>
      </w:r>
    </w:p>
    <w:p>
      <w:r>
        <w:t>VOO</w:t>
      </w:r>
      <w:r>
        <w:t xml:space="preserve"> – VWICX will have </w:t>
      </w:r>
      <w:r>
        <w:t>higher FX risk</w:t>
      </w:r>
      <w:r>
        <w:t xml:space="preserve">, different sector tilts (more financials, energy, materials; less U.S. tech/communications). Long‑run volatility may be similar, but the </w:t>
      </w:r>
      <w:r>
        <w:t>pattern of returns is different</w:t>
      </w:r>
      <w:r>
        <w:t>, which is exactly what you want for diversification.</w:t>
      </w:r>
    </w:p>
    <w:p>
      <w:r>
        <w:t>QQQ</w:t>
      </w:r>
      <w:r>
        <w:t xml:space="preserve"> – VWICX should have </w:t>
      </w:r>
      <w:r>
        <w:t>lower concentration risk</w:t>
      </w:r>
      <w:r>
        <w:t xml:space="preserve"> and slightly lower volatility, but also </w:t>
      </w:r>
      <w:r>
        <w:t>less upside in U.S. tech bull markets</w:t>
      </w:r>
      <w:r>
        <w:t>.</w:t>
      </w:r>
    </w:p>
    <w:p>
      <w:r>
        <w:t>---</w:t>
      </w:r>
    </w:p>
    <w:p>
      <w:pPr>
        <w:pStyle w:val="Heading2"/>
      </w:pPr>
      <w:r>
        <w:t>8. Macro/Sector Drivers and Forward‑Looking Thesis (Brian Belsky–style)</w:t>
      </w:r>
    </w:p>
    <w:p>
      <w:r>
        <w:t xml:space="preserve">Brian Belsky is known for a </w:t>
      </w:r>
      <w:r>
        <w:t>fundamentals‑first, valuation‑aware, and pragmatic macro</w:t>
      </w:r>
      <w:r>
        <w:t xml:space="preserve"> view. Applying that style to VWICX:</w:t>
      </w:r>
    </w:p>
    <w:p>
      <w:pPr>
        <w:pStyle w:val="Heading3"/>
      </w:pPr>
      <w:r>
        <w:t>What drove past returns?</w:t>
      </w:r>
    </w:p>
    <w:p>
      <w:pPr>
        <w:pStyle w:val="ListNumber"/>
      </w:pPr>
      <w:r>
        <w:rPr>
          <w:b/>
          <w:sz w:val="28"/>
        </w:rPr>
        <w:t>Global earnings and policy cycles.</w:t>
      </w:r>
    </w:p>
    <w:p>
      <w:pPr>
        <w:pStyle w:val="ListBullet"/>
      </w:pPr>
      <w:r>
        <w:t xml:space="preserve">2020–21: Policy stimulus and vaccine rollouts supported </w:t>
      </w:r>
      <w:r>
        <w:t>global cyclicals, exporters, and financials</w:t>
      </w:r>
      <w:r>
        <w:t>, particularly in Europe and Japan, lifting VWICX and its value sleeves.</w:t>
      </w:r>
    </w:p>
    <w:p>
      <w:pPr>
        <w:pStyle w:val="ListBullet"/>
      </w:pPr>
      <w:r>
        <w:t xml:space="preserve">2022: Aggressive Fed/ECB hikes, strong USD, energy shock and China lockdowns hit </w:t>
      </w:r>
      <w:r>
        <w:t>international growth, EM consumers, and rate‑sensitive sectors</w:t>
      </w:r>
      <w:r>
        <w:t>, driving the –20% year.</w:t>
      </w:r>
    </w:p>
    <w:p>
      <w:pPr>
        <w:pStyle w:val="ListBullet"/>
      </w:pPr>
      <w:r>
        <w:t xml:space="preserve">2023–24: </w:t>
      </w:r>
      <w:r>
        <w:t>Easing inflation, stabilizing rates, and China re‑opening fits &amp; starts</w:t>
      </w:r>
      <w:r>
        <w:t xml:space="preserve"> allowed a rebound in quality growth (TSMC, ASML, Novo Nordisk) and cyclicals (European banks, energy).</w:t>
      </w:r>
    </w:p>
    <w:p>
      <w:pPr>
        <w:pStyle w:val="ListNumber"/>
      </w:pPr>
      <w:r>
        <w:rPr>
          <w:b/>
          <w:sz w:val="28"/>
        </w:rPr>
        <w:t>FX and the U.S. dollar.</w:t>
      </w:r>
    </w:p>
    <w:p>
      <w:r>
        <w:t xml:space="preserve">A </w:t>
      </w:r>
      <w:r>
        <w:t>strong dollar</w:t>
      </w:r>
      <w:r>
        <w:t xml:space="preserve"> has historically been a headwind to U.S.‑based returns on foreign assets. VWICX’s returns reflect that: good local‑currency performance can be muted in USD terms.</w:t>
      </w:r>
    </w:p>
    <w:p>
      <w:r>
        <w:t xml:space="preserve">Over very long horizons, FX cycles mean‑revert; a </w:t>
      </w:r>
      <w:r>
        <w:t>plateauing or weakening dollar</w:t>
      </w:r>
      <w:r>
        <w:t xml:space="preserve"> could become a </w:t>
      </w:r>
      <w:r>
        <w:t>tailwind</w:t>
      </w:r>
      <w:r>
        <w:t>.</w:t>
      </w:r>
    </w:p>
    <w:p>
      <w:pPr>
        <w:pStyle w:val="ListNumber"/>
      </w:pPr>
      <w:r>
        <w:rPr>
          <w:b/>
          <w:sz w:val="28"/>
        </w:rPr>
        <w:t>Sector themes.</w:t>
      </w:r>
    </w:p>
    <w:p>
      <w:pPr>
        <w:pStyle w:val="ListBullet"/>
      </w:pPr>
      <w:r>
        <w:t>Semiconductors and digital infrastructure</w:t>
      </w:r>
      <w:r>
        <w:t xml:space="preserve"> (TSMC, ASML, MediaTek) have been key positive contributors – they sit at the heart of the global AI and electrification value chains, even if they are not U.S.‑listed.[VWICX_N-CSRS_2025-05-30]</w:t>
      </w:r>
    </w:p>
    <w:p>
      <w:pPr>
        <w:pStyle w:val="ListBullet"/>
      </w:pPr>
      <w:r>
        <w:t>Health care</w:t>
      </w:r>
      <w:r>
        <w:t xml:space="preserve"> (Novo Nordisk, Novartis, AstraZeneca) benefited from innovation in obesity, oncology, and immunology, offering durable cash flow and pricing power.</w:t>
      </w:r>
    </w:p>
    <w:p>
      <w:pPr>
        <w:pStyle w:val="ListBullet"/>
      </w:pPr>
      <w:r>
        <w:t>Financials and energy</w:t>
      </w:r>
      <w:r>
        <w:t xml:space="preserve"> (European/Japanese banks, Shell, TotalEnergies) offered both value and </w:t>
      </w:r>
      <w:r>
        <w:t>inflation/steepening‑curve hedges</w:t>
      </w:r>
      <w:r>
        <w:t>, doing well when rates rose from ultra‑low levels.</w:t>
      </w:r>
    </w:p>
    <w:p>
      <w:pPr>
        <w:pStyle w:val="Heading3"/>
      </w:pPr>
      <w:r>
        <w:t>Forward‑looking, fundamentals‑driven view</w:t>
      </w:r>
    </w:p>
    <w:p>
      <w:r>
        <w:t>From a Belsky‑style lens:</w:t>
      </w:r>
    </w:p>
    <w:p>
      <w:pPr>
        <w:pStyle w:val="ListBullet"/>
      </w:pPr>
      <w:r>
        <w:t>Fundamentals</w:t>
      </w:r>
      <w:r>
        <w:t xml:space="preserve"> – Non‑U.S. companies in the VWICX portfolio include global leaders with </w:t>
      </w:r>
      <w:r>
        <w:t>solid balance sheets, competitive moats, and structural growth</w:t>
      </w:r>
      <w:r>
        <w:t>: TSMC in leading‑edge chips; ASML’s EUV monopoly; Novo Nordisk’s obesity franchise; large, capital‑disciplined European energy majors; high‑ROE banks in markets where rates have normalized.[VWICX_N-CSRS_2025-05-30]</w:t>
      </w:r>
    </w:p>
    <w:p>
      <w:pPr>
        <w:pStyle w:val="ListBullet"/>
      </w:pPr>
      <w:r>
        <w:t>Valuation</w:t>
      </w:r>
      <w:r>
        <w:t xml:space="preserve"> – International markets (Europe, Japan ex‑AI leaders, broad EM) still trade at </w:t>
      </w:r>
      <w:r>
        <w:t>discounts to U.S. large‑cap growth</w:t>
      </w:r>
      <w:r>
        <w:t xml:space="preserve"> on P/E, P/B, and CAPE metrics, even after solid recent rallies.[8] That is consistent with Belsky’s preference for </w:t>
      </w:r>
      <w:r>
        <w:t>quality at a reasonable price</w:t>
      </w:r>
      <w:r>
        <w:t xml:space="preserve"> rather than simply chasing momentum.</w:t>
      </w:r>
    </w:p>
    <w:p>
      <w:pPr>
        <w:pStyle w:val="ListBullet"/>
      </w:pPr>
      <w:r>
        <w:t>Macro “noise” vs signal</w:t>
      </w:r>
      <w:r>
        <w:t xml:space="preserve"> – Headlines around </w:t>
      </w:r>
      <w:r>
        <w:t>geopolitics (Ukraine, Middle East, U.S.–China), elections, and intermittent China slowdowns</w:t>
      </w:r>
      <w:r>
        <w:t xml:space="preserve"> will create volatility but often at odds with long‑term fundamentals. An active “core” manager can use that volatility to upgrade quality, add to high‑conviction names at better prices, and trim when sentiment overshoots.</w:t>
      </w:r>
    </w:p>
    <w:p>
      <w:pPr>
        <w:pStyle w:val="ListBullet"/>
      </w:pPr>
      <w:r>
        <w:t>Key drivers going forward</w:t>
      </w:r>
      <w:r>
        <w:t>:</w:t>
      </w:r>
    </w:p>
    <w:p>
      <w:pPr>
        <w:pStyle w:val="ListBullet"/>
      </w:pPr>
      <w:r>
        <w:t>AI and digitalization</w:t>
      </w:r>
      <w:r>
        <w:t xml:space="preserve"> – Non‑U.S. semiconductor and equipment leaders (TSMC, ASML, SK Hynix, FANUC’s automation) remain integral to global AI and reshoring themes.</w:t>
      </w:r>
    </w:p>
    <w:p>
      <w:pPr>
        <w:pStyle w:val="ListBullet"/>
      </w:pPr>
      <w:r>
        <w:t>Energy transition &amp; resource security</w:t>
      </w:r>
      <w:r>
        <w:t xml:space="preserve"> – Integrated energy (Shell, TotalEnergies), materials (Glencore), and industrials (Siemens, Holcim) are positioned to supply the </w:t>
      </w:r>
      <w:r>
        <w:t>infrastructure and inputs</w:t>
      </w:r>
      <w:r>
        <w:t xml:space="preserve"> for decarbonization and grid build‑out.</w:t>
      </w:r>
    </w:p>
    <w:p>
      <w:pPr>
        <w:pStyle w:val="ListBullet"/>
      </w:pPr>
      <w:r>
        <w:t>Aging populations and health innovation</w:t>
      </w:r>
      <w:r>
        <w:t xml:space="preserve"> – European and Japanese pharma/devices (Novo Nordisk, Novartis, Otsuka) offer </w:t>
      </w:r>
      <w:r>
        <w:t>defensive growth</w:t>
      </w:r>
      <w:r>
        <w:t xml:space="preserve"> irrespective of short‑term GDP.</w:t>
      </w:r>
    </w:p>
    <w:p>
      <w:pPr>
        <w:pStyle w:val="ListBullet"/>
      </w:pPr>
      <w:r>
        <w:t>Financial normalization</w:t>
      </w:r>
      <w:r>
        <w:t xml:space="preserve"> – Banks in Europe, Japan, India can benefit from </w:t>
      </w:r>
      <w:r>
        <w:t>structurally higher net interest margins</w:t>
      </w:r>
      <w:r>
        <w:t xml:space="preserve"> and consolidation, especially if monetary policy stabilizes.</w:t>
      </w:r>
    </w:p>
    <w:p>
      <w:r>
        <w:t xml:space="preserve">In short, Belsky might frame VWICX as a </w:t>
      </w:r>
      <w:r>
        <w:t>fundamentally anchored way to own global growth and value franchises outside the U.S.</w:t>
      </w:r>
      <w:r>
        <w:t xml:space="preserve">, with </w:t>
      </w:r>
      <w:r>
        <w:t>better valuations</w:t>
      </w:r>
      <w:r>
        <w:t xml:space="preserve"> and </w:t>
      </w:r>
      <w:r>
        <w:t>complementary sector/FX exposure</w:t>
      </w:r>
      <w:r>
        <w:t xml:space="preserve"> to a U.S.‑centric portfolio.</w:t>
      </w:r>
    </w:p>
    <w:p>
      <w:r>
        <w:t>---</w:t>
      </w:r>
    </w:p>
    <w:p>
      <w:pPr>
        <w:pStyle w:val="Heading2"/>
      </w:pPr>
      <w:r>
        <w:t>9. Suitable Investor Type and Portfolio Role</w:t>
      </w:r>
    </w:p>
    <w:p>
      <w:r>
        <w:rPr>
          <w:b/>
        </w:rPr>
        <w:t>Role in a portfolio</w:t>
      </w:r>
    </w:p>
    <w:p>
      <w:r>
        <w:t xml:space="preserve">Best seen as a </w:t>
      </w:r>
      <w:r>
        <w:t>core non‑U.S. equity holding</w:t>
      </w:r>
      <w:r>
        <w:t xml:space="preserve"> – not a tactical satellite. It fills the </w:t>
      </w:r>
      <w:r>
        <w:t>strategic international equity sleeve</w:t>
      </w:r>
      <w:r>
        <w:t xml:space="preserve"> in a 60/40 or 70/30 allocation.</w:t>
      </w:r>
    </w:p>
    <w:p>
      <w:r>
        <w:t xml:space="preserve">VWICX provides </w:t>
      </w:r>
      <w:r>
        <w:t>broad, actively managed exposure</w:t>
      </w:r>
      <w:r>
        <w:t xml:space="preserve"> across developed and EM markets, complementing U.S. core holdings like VOO and/or growth satellites like QQQ.</w:t>
      </w:r>
    </w:p>
    <w:p>
      <w:r>
        <w:rPr>
          <w:b/>
        </w:rPr>
        <w:t>Investor profile</w:t>
      </w:r>
    </w:p>
    <w:p>
      <w:pPr>
        <w:pStyle w:val="ListBullet"/>
      </w:pPr>
      <w:r>
        <w:t>Long‑term investors (5–10+ years)</w:t>
      </w:r>
      <w:r>
        <w:t xml:space="preserve"> comfortable with equity volatility and FX swings.</w:t>
      </w:r>
    </w:p>
    <w:p>
      <w:pPr>
        <w:pStyle w:val="ListBullet"/>
      </w:pPr>
      <w:r>
        <w:t xml:space="preserve">Those who believe </w:t>
      </w:r>
      <w:r>
        <w:t>U.S. equity outperformance is not perpetual</w:t>
      </w:r>
      <w:r>
        <w:t xml:space="preserve"> and that owning non‑U.S. quality franchises at lower valuations will be rewarded over time.</w:t>
      </w:r>
    </w:p>
    <w:p>
      <w:pPr>
        <w:pStyle w:val="ListBullet"/>
      </w:pPr>
      <w:r>
        <w:t xml:space="preserve">Investors who value </w:t>
      </w:r>
      <w:r>
        <w:t>low fees but still want active stock‑picking</w:t>
      </w:r>
      <w:r>
        <w:t xml:space="preserve"> in less efficient non‑U.S. markets.</w:t>
      </w:r>
    </w:p>
    <w:p>
      <w:r>
        <w:rPr>
          <w:b/>
        </w:rPr>
        <w:t>Less suitable for</w:t>
      </w:r>
    </w:p>
    <w:p>
      <w:pPr>
        <w:pStyle w:val="ListBullet"/>
      </w:pPr>
      <w:r>
        <w:t>Very short‑term traders (mutual fund structure, daily NAV).</w:t>
      </w:r>
    </w:p>
    <w:p>
      <w:pPr>
        <w:pStyle w:val="ListBullet"/>
      </w:pPr>
      <w:r>
        <w:t xml:space="preserve">Investors seeking </w:t>
      </w:r>
      <w:r>
        <w:t>high current income</w:t>
      </w:r>
      <w:r>
        <w:t xml:space="preserve"> – yield is modest; focus is capital appreciation.[4][7]</w:t>
      </w:r>
    </w:p>
    <w:p>
      <w:pPr>
        <w:pStyle w:val="ListBullet"/>
      </w:pPr>
      <w:r>
        <w:t xml:space="preserve">Those wanting </w:t>
      </w:r>
      <w:r>
        <w:t>pure growth/tech beta</w:t>
      </w:r>
      <w:r>
        <w:t xml:space="preserve"> – QQQ or U.S. thematic ETFs would be more direct.</w:t>
      </w:r>
    </w:p>
    <w:p>
      <w:r>
        <w:t>---</w:t>
      </w:r>
    </w:p>
    <w:p>
      <w:pPr>
        <w:pStyle w:val="Heading2"/>
      </w:pPr>
      <w:r>
        <w:t>10. Analyst Ratings and Forward Assessments</w:t>
      </w:r>
    </w:p>
    <w:p>
      <w:pPr>
        <w:pStyle w:val="ListBullet"/>
      </w:pPr>
      <w:r>
        <w:t>Morningstar</w:t>
      </w:r>
      <w:r>
        <w:t xml:space="preserve"> assigns VWICX a </w:t>
      </w:r>
      <w:r>
        <w:t>medalist rating/risk‑return assessment</w:t>
      </w:r>
      <w:r>
        <w:t xml:space="preserve"> based on its low fees, Vanguard stewardship, and established multi‑manager approach, but the exact current Morningstar Medalist rating (Gold/Silver/Bronze) is not explicitly stated in the accessible text; I therefore do not quote a specific rating color.[8]</w:t>
      </w:r>
    </w:p>
    <w:p>
      <w:pPr>
        <w:pStyle w:val="ListBullet"/>
      </w:pPr>
      <w:r>
        <w:t xml:space="preserve">Schwab and Fidelity both categorize it as a </w:t>
      </w:r>
      <w:r>
        <w:t>core international holding</w:t>
      </w:r>
      <w:r>
        <w:t xml:space="preserve"> with </w:t>
      </w:r>
      <w:r>
        <w:t>average to above‑average risk</w:t>
      </w:r>
      <w:r>
        <w:t xml:space="preserve"> and highlight the </w:t>
      </w:r>
      <w:r>
        <w:t>low cost relative to active peers</w:t>
      </w:r>
      <w:r>
        <w:t>.[6][7]</w:t>
      </w:r>
    </w:p>
    <w:p>
      <w:pPr>
        <w:pStyle w:val="ListBullet"/>
      </w:pPr>
      <w:r>
        <w:t xml:space="preserve">There are </w:t>
      </w:r>
      <w:r>
        <w:t>no public “price targets” or fair‑value estimates</w:t>
      </w:r>
      <w:r>
        <w:t xml:space="preserve"> for mutual funds like VWICX akin to single‑stock targets; instead, research houses evaluate </w:t>
      </w:r>
      <w:r>
        <w:t>expected excess return vs benchmark given process, people, and price</w:t>
      </w:r>
      <w:r>
        <w:t xml:space="preserve">. On those dimensions, VWICX generally scores </w:t>
      </w:r>
      <w:r>
        <w:t>favorably</w:t>
      </w:r>
      <w:r>
        <w:t xml:space="preserve"> due to Vanguard oversight, experienced sub‑advisers, and cheap fees.[6][7][8]</w:t>
      </w:r>
    </w:p>
    <w:p>
      <w:r>
        <w:t>---</w:t>
      </w:r>
    </w:p>
    <w:p>
      <w:r>
        <w:t>If you’d like, I can next:</w:t>
      </w:r>
    </w:p>
    <w:p>
      <w:r>
        <w:t xml:space="preserve">Pull the latest </w:t>
      </w:r>
      <w:r>
        <w:t>exact numeric 1‑, 3‑, 5‑, and since‑inception returns</w:t>
      </w:r>
      <w:r>
        <w:t xml:space="preserve"> from a specific platform you use (Morningstar, Schwab, Fidelity) as of a specified date, and</w:t>
      </w:r>
    </w:p>
    <w:p>
      <w:r>
        <w:t xml:space="preserve">Build a </w:t>
      </w:r>
      <w:r>
        <w:t>more granular quantitative comparison</w:t>
      </w:r>
      <w:r>
        <w:t xml:space="preserve"> (rolling relative performance vs MSCI ACWI ex USA, VOO, and QQQ; upside/downside capture; beta and correlation matrices).</w:t>
      </w:r>
    </w:p>
    <w:p/>
    <w:p>
      <w:pPr>
        <w:pStyle w:val="Heading2"/>
      </w:pPr>
      <w:r>
        <w:t>Prompt Used:</w:t>
      </w:r>
    </w:p>
    <w:p>
      <w:r>
        <w:t>For the Mutual Fund VWICX Give me a Brian Belsky–style ETF/Mutual Fund analysis for this ETF or Mutual Fund in a 6‑page‑or‑less format. Use only verifiable, factual information (annual reports, investor presentations, attached SEC filings, earnings transcripts, and reputable financial sources including Morningstar, Charles Schwab and Fidelity).</w:t>
        <w:br/>
        <w:br/>
        <w:t>Using reliable sources including those identified above, insert a table showing trailing 6 month, 1 year, and 5‑year total return performance for this ETF or Mutual Fund, and compare it to VOO and QQQ over the same period.  This ETF or Mutual fund should be the first column, with VOO and QQQ as second and third column.  The rows of this table should be 6month performance, 1 year performance and 5 year performance.  For the performance table, use only authoritative data sources such as the fund sponsor’s site (e.g., Vanguard, BlackRock), Morningstar, Charles Schwab or Fidelity, Yahoo Finance, Barchart. If any 6‑month, 1‑year, or 5‑year total‑return number is not directly available from these reliable sources, enter N/A in that cell and explain briefly that the data was unavailable rather than inferred. Include a citation in each table cell showing which source the number came from.</w:t>
        <w:br/>
        <w:br/>
        <w:t>Insert another table of all the key ETF/Mutual Fund metrics, including at least:</w:t>
        <w:br/>
        <w:br/>
        <w:t xml:space="preserve">    Investment category / segment (e.g., large‑cap growth, sector, factor, thematic)</w:t>
        <w:br/>
        <w:br/>
        <w:t xml:space="preserve">    Primary benchmark index</w:t>
        <w:br/>
        <w:br/>
        <w:t xml:space="preserve">    Net expense ratio (annual fee, %)</w:t>
        <w:br/>
        <w:br/>
        <w:t xml:space="preserve">    Assets under management (USD billions)</w:t>
        <w:br/>
        <w:br/>
        <w:t xml:space="preserve">    Distribution yield (%) and distribution frequency</w:t>
        <w:br/>
        <w:br/>
        <w:t xml:space="preserve">    5‑year annualized total return (%)</w:t>
        <w:br/>
        <w:br/>
        <w:t xml:space="preserve">    Standard deviation or volatility (5‑year, if available)</w:t>
        <w:br/>
        <w:br/>
        <w:t xml:space="preserve">    Beta vs the S&amp;P 500 (or VOO proxy)</w:t>
        <w:br/>
        <w:br/>
        <w:t xml:space="preserve">    Tracking difference vs benchmark (5‑year, if available)</w:t>
        <w:br/>
        <w:br/>
        <w:t xml:space="preserve">    Inception date</w:t>
        <w:br/>
        <w:br/>
        <w:t>Add a separate table summarizing portfolio composition and exposures, including:</w:t>
        <w:br/>
        <w:br/>
        <w:t xml:space="preserve">    Number of holdings</w:t>
        <w:br/>
        <w:br/>
        <w:t xml:space="preserve">    Top 10 holdings with weights (%)</w:t>
        <w:br/>
        <w:br/>
        <w:t xml:space="preserve">    Sector weights (%)</w:t>
        <w:br/>
        <w:br/>
        <w:t xml:space="preserve">    Geographic exposure (% U.S. vs international, and major regions if applicable)</w:t>
        <w:br/>
        <w:br/>
        <w:t xml:space="preserve">    Market‑cap breakdown (large / mid / small)</w:t>
        <w:br/>
        <w:br/>
        <w:t>Again, for the aforementioned information, use only authoritative data sources such as the fund sponsor’s site (e.g., Vanguard, BlackRock), Morningstar, Yahoo Finance, Barchart, Schwab/Fidelity ETF profiles or SEC filings. Do not estimate or back‑solve returns. If any 6‑month, 1‑year, or 5‑year total‑return number is not directly available from these sources, enter N/A in that cell and explain briefly that the data was unavailable rather than inferred. Include a citation in each table cell showing which source the number came from.</w:t>
        <w:br/>
        <w:br/>
        <w:t>In the written analysis:</w:t>
        <w:br/>
        <w:br/>
        <w:t xml:space="preserve">    Discuss the ETF or Mutual Fund's investment objective, index methodology, and portfolio construction (including concentration, sector/industry tilts, and style/ factor exposure).</w:t>
        <w:br/>
        <w:br/>
        <w:t xml:space="preserve">    Evaluate fees and trading characteristics (expense ratio, spreads, liquidity) relative to similar ETFs or Mutual Funds and to VOO and QQQ.</w:t>
        <w:br/>
        <w:br/>
        <w:t xml:space="preserve">    Analyze historical performance across multiple horizons (1, 3, 5, and since inception) versus:</w:t>
        <w:br/>
        <w:br/>
        <w:t xml:space="preserve">        Its stated benchmark</w:t>
        <w:br/>
        <w:br/>
        <w:t xml:space="preserve">        A relevant peer group of similar ETFs or Mutual Funds</w:t>
        <w:br/>
        <w:br/>
        <w:t xml:space="preserve">        Broad U.S. equity ETFs such as VOO (S&amp;P 500) and QQQ (Nasdaq‑100).</w:t>
        <w:br/>
        <w:br/>
        <w:t xml:space="preserve">    Comment on risk/return characteristics (volatility, drawdowns, beta, tracking error) and how they compare to those peer ETFs or Mutual Funds.</w:t>
        <w:br/>
        <w:br/>
        <w:t xml:space="preserve">    Explain key macro/sector drivers of past returns and the forward‑looking thesis in a Brian Belsky style (fundamentals‑driven, valuation‑aware, pragmatic on macro “noise”).</w:t>
        <w:br/>
        <w:br/>
        <w:t xml:space="preserve">    Highlight which type of investor and portfolio role this ETF or Mutual Fund is most suitable for (core holding vs satellite, growth vs income, diversification vs tactical).</w:t>
        <w:br/>
        <w:br/>
        <w:t>If available, please add analyst ratings, forward‑looking assessments, or model price targets / fair‑value estimates for this ETF/Mutual Fund or for its closest comparable ETFs or Mutual Funds</w:t>
        <w:br/>
        <w:br/>
        <w:t>[SEC filings included: VWICX_497_2025-11-24.html, VWICX_Annual_Report_N-CEN_N-CEN_2024-12-12.html, VWICX_Annual_Report_N-CEN_N-CEN_2025-12-10.html, VWICX_Annual_Report_N-CSR_2025-11-28.html, VWICX_Annual_Shareholder_Report_N-CSR_2025-11-28.html, VWICX_N-1A_Post_Effective_Amend_485BPOS_2025-01-31.html, VWICX_N-1A_Pre_Effective_Amend_485APOS_2022-11-21.html, VWICX_N-CSRS_2025-05-30.html, VWICX_N-CSR_2025-11-28.html, VWICX_Prospectus_497_2025-11-24.html, VWICX_Semiannual_Shareholder_Report_N-CSRS_2025-05-30.html]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