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KAMEL POTTERIES</w:t>
      </w:r>
    </w:p>
    <w:p>
      <w:pPr>
        <w:pStyle w:val="Heading2"/>
        <w:jc w:val="center"/>
      </w:pPr>
      <w:r>
        <w:t>Complete Financial Analysis &amp; Valuation Report</w:t>
      </w:r>
    </w:p>
    <w:p>
      <w:pPr>
        <w:jc w:val="center"/>
      </w:pPr>
      <w:r>
        <w:t>Analysis Period: 2024-2025 YTD (January - September)</w:t>
      </w:r>
    </w:p>
    <w:p/>
    <w:p>
      <w:pPr>
        <w:pStyle w:val="Heading1"/>
      </w:pPr>
      <w:r>
        <w:t>EXECUTIVE SUMMARY</w:t>
      </w:r>
    </w:p>
    <w:p>
      <w:r>
        <w:rPr>
          <w:b/>
        </w:rPr>
        <w:t xml:space="preserve">Valuation Range: </w:t>
      </w:r>
      <w:r>
        <w:t>R11,000,000 - R14,000,000</w:t>
        <w:br/>
      </w:r>
      <w:r>
        <w:rPr>
          <w:b/>
        </w:rPr>
        <w:t xml:space="preserve">Normalized EBITDA (Annualized): </w:t>
      </w:r>
      <w:r>
        <w:t>R2,957,000</w:t>
        <w:br/>
      </w:r>
      <w:r>
        <w:rPr>
          <w:b/>
        </w:rPr>
        <w:t xml:space="preserve">Market Position: </w:t>
      </w:r>
      <w:r>
        <w:t>33.3% market share - Foremost ceramic supplier in South Africa</w:t>
        <w:br/>
      </w:r>
      <w:r>
        <w:rPr>
          <w:b/>
        </w:rPr>
        <w:t xml:space="preserve">Critical Risk: </w:t>
      </w:r>
      <w:r>
        <w:t>93% customer concentration in top 3 accounts</w:t>
      </w:r>
    </w:p>
    <w:p>
      <w:r>
        <w:br w:type="page"/>
      </w:r>
    </w:p>
    <w:p>
      <w:pPr>
        <w:pStyle w:val="Heading1"/>
      </w:pPr>
      <w:r>
        <w:t>1. SALES DATA VERIFICATION</w:t>
      </w:r>
    </w:p>
    <w:p>
      <w:pPr>
        <w:pStyle w:val="Heading2"/>
      </w:pPr>
      <w:r>
        <w:t>External Files vs Xero Reconciliation</w:t>
      </w:r>
    </w:p>
    <w:p>
      <w:pPr>
        <w:pStyle w:val="Heading3"/>
      </w:pPr>
      <w:r>
        <w:t>2024 Sales Analysis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Source</w:t>
            </w:r>
          </w:p>
        </w:tc>
        <w:tc>
          <w:tcPr>
            <w:tcW w:type="dxa" w:w="4680"/>
          </w:tcPr>
          <w:p>
            <w:r>
              <w:t>Amount (R)</w:t>
            </w:r>
          </w:p>
        </w:tc>
      </w:tr>
      <w:tr>
        <w:tc>
          <w:tcPr>
            <w:tcW w:type="dxa" w:w="4680"/>
          </w:tcPr>
          <w:p>
            <w:r>
              <w:t>KAMELSALES2024.pdf (Product Sales Only)</w:t>
            </w:r>
          </w:p>
        </w:tc>
        <w:tc>
          <w:tcPr>
            <w:tcW w:type="dxa" w:w="4680"/>
          </w:tcPr>
          <w:p>
            <w:r>
              <w:t>1,115,709</w:t>
            </w:r>
          </w:p>
        </w:tc>
      </w:tr>
      <w:tr>
        <w:tc>
          <w:tcPr>
            <w:tcW w:type="dxa" w:w="4680"/>
          </w:tcPr>
          <w:p>
            <w:r>
              <w:t>Top Customers 2024 (Wholesale Accounts)</w:t>
            </w:r>
          </w:p>
        </w:tc>
        <w:tc>
          <w:tcPr>
            <w:tcW w:type="dxa" w:w="4680"/>
          </w:tcPr>
          <w:p>
            <w:r>
              <w:t>1,428,294</w:t>
            </w:r>
          </w:p>
        </w:tc>
      </w:tr>
      <w:tr>
        <w:tc>
          <w:tcPr>
            <w:tcW w:type="dxa" w:w="4680"/>
          </w:tcPr>
          <w:p>
            <w:r>
              <w:t>Xero P&amp;L Sales 2024</w:t>
            </w:r>
          </w:p>
        </w:tc>
        <w:tc>
          <w:tcPr>
            <w:tcW w:type="dxa" w:w="4680"/>
          </w:tcPr>
          <w:p>
            <w:r>
              <w:t>1,995,629</w:t>
            </w:r>
          </w:p>
        </w:tc>
      </w:tr>
    </w:tbl>
    <w:p>
      <w:r>
        <w:rPr>
          <w:b/>
        </w:rPr>
        <w:t xml:space="preserve">Difference: R567,335 </w:t>
      </w:r>
      <w:r>
        <w:t>(likely POS retail sales not included in customer reports)</w:t>
      </w:r>
    </w:p>
    <w:p>
      <w:pPr>
        <w:pStyle w:val="Heading3"/>
      </w:pPr>
      <w:r>
        <w:t>2025 Sales Analysis (January - September)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Source</w:t>
            </w:r>
          </w:p>
        </w:tc>
        <w:tc>
          <w:tcPr>
            <w:tcW w:type="dxa" w:w="4680"/>
          </w:tcPr>
          <w:p>
            <w:r>
              <w:t>Amount (R)</w:t>
            </w:r>
          </w:p>
        </w:tc>
      </w:tr>
      <w:tr>
        <w:tc>
          <w:tcPr>
            <w:tcW w:type="dxa" w:w="4680"/>
          </w:tcPr>
          <w:p>
            <w:r>
              <w:t>KAMELSALES2025.pdf (Through Sep 28)</w:t>
            </w:r>
          </w:p>
        </w:tc>
        <w:tc>
          <w:tcPr>
            <w:tcW w:type="dxa" w:w="4680"/>
          </w:tcPr>
          <w:p>
            <w:r>
              <w:t>1,115,709</w:t>
            </w:r>
          </w:p>
        </w:tc>
      </w:tr>
      <w:tr>
        <w:tc>
          <w:tcPr>
            <w:tcW w:type="dxa" w:w="4680"/>
          </w:tcPr>
          <w:p>
            <w:r>
              <w:t>Top Customers 2025 (Jan-Aug)</w:t>
            </w:r>
          </w:p>
        </w:tc>
        <w:tc>
          <w:tcPr>
            <w:tcW w:type="dxa" w:w="4680"/>
          </w:tcPr>
          <w:p>
            <w:r>
              <w:t>434,903</w:t>
            </w:r>
          </w:p>
        </w:tc>
      </w:tr>
      <w:tr>
        <w:tc>
          <w:tcPr>
            <w:tcW w:type="dxa" w:w="4680"/>
          </w:tcPr>
          <w:p>
            <w:r>
              <w:t>Xero P&amp;L Sales 2025</w:t>
            </w:r>
          </w:p>
        </w:tc>
        <w:tc>
          <w:tcPr>
            <w:tcW w:type="dxa" w:w="4680"/>
          </w:tcPr>
          <w:p>
            <w:r>
              <w:t>1,266,542</w:t>
            </w:r>
          </w:p>
        </w:tc>
      </w:tr>
    </w:tbl>
    <w:p>
      <w:r>
        <w:rPr>
          <w:b/>
        </w:rPr>
        <w:t xml:space="preserve">Difference: R831,639 </w:t>
      </w:r>
      <w:r>
        <w:t>(significant POS/cash sales not tracked in customer accounts)</w:t>
      </w:r>
    </w:p>
    <w:p>
      <w:r>
        <w:br w:type="page"/>
      </w:r>
    </w:p>
    <w:p>
      <w:pPr>
        <w:pStyle w:val="Heading1"/>
      </w:pPr>
      <w:r>
        <w:t>2. TOP CUSTOMERS ANALYSIS - CRITICAL FINDINGS</w:t>
      </w:r>
    </w:p>
    <w:p>
      <w:pPr>
        <w:pStyle w:val="Heading2"/>
      </w:pPr>
      <w:r>
        <w:t>2024 Top 3 Customers (77% of wholesale revenue)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Customer</w:t>
            </w:r>
          </w:p>
        </w:tc>
        <w:tc>
          <w:tcPr>
            <w:tcW w:type="dxa" w:w="3120"/>
          </w:tcPr>
          <w:p>
            <w:r>
              <w:t>Revenue (R)</w:t>
            </w:r>
          </w:p>
        </w:tc>
        <w:tc>
          <w:tcPr>
            <w:tcW w:type="dxa" w:w="3120"/>
          </w:tcPr>
          <w:p>
            <w:r>
              <w:t>% of Wholesale</w:t>
            </w:r>
          </w:p>
        </w:tc>
      </w:tr>
      <w:tr>
        <w:tc>
          <w:tcPr>
            <w:tcW w:type="dxa" w:w="3120"/>
          </w:tcPr>
          <w:p>
            <w:r>
              <w:t>Egg Designs</w:t>
            </w:r>
          </w:p>
        </w:tc>
        <w:tc>
          <w:tcPr>
            <w:tcW w:type="dxa" w:w="3120"/>
          </w:tcPr>
          <w:p>
            <w:r>
              <w:t>435,199</w:t>
            </w:r>
          </w:p>
        </w:tc>
        <w:tc>
          <w:tcPr>
            <w:tcW w:type="dxa" w:w="3120"/>
          </w:tcPr>
          <w:p>
            <w:r>
              <w:t>30.8%</w:t>
            </w:r>
          </w:p>
        </w:tc>
      </w:tr>
      <w:tr>
        <w:tc>
          <w:tcPr>
            <w:tcW w:type="dxa" w:w="3120"/>
          </w:tcPr>
          <w:p>
            <w:r>
              <w:t>Art Culture Alliance</w:t>
            </w:r>
          </w:p>
        </w:tc>
        <w:tc>
          <w:tcPr>
            <w:tcW w:type="dxa" w:w="3120"/>
          </w:tcPr>
          <w:p>
            <w:r>
              <w:t>360,055</w:t>
            </w:r>
          </w:p>
        </w:tc>
        <w:tc>
          <w:tcPr>
            <w:tcW w:type="dxa" w:w="3120"/>
          </w:tcPr>
          <w:p>
            <w:r>
              <w:t>25.5%</w:t>
            </w:r>
          </w:p>
        </w:tc>
      </w:tr>
      <w:tr>
        <w:tc>
          <w:tcPr>
            <w:tcW w:type="dxa" w:w="3120"/>
          </w:tcPr>
          <w:p>
            <w:r>
              <w:t>Vegmore Distribution</w:t>
            </w:r>
          </w:p>
        </w:tc>
        <w:tc>
          <w:tcPr>
            <w:tcW w:type="dxa" w:w="3120"/>
          </w:tcPr>
          <w:p>
            <w:r>
              <w:t>295,409</w:t>
            </w:r>
          </w:p>
        </w:tc>
        <w:tc>
          <w:tcPr>
            <w:tcW w:type="dxa" w:w="3120"/>
          </w:tcPr>
          <w:p>
            <w:r>
              <w:t>20.9%</w:t>
            </w:r>
          </w:p>
        </w:tc>
      </w:tr>
    </w:tbl>
    <w:p>
      <w:pPr>
        <w:pStyle w:val="Heading2"/>
      </w:pPr>
      <w:r>
        <w:t>2025 Top 3 Customers (93% of wholesale revenue - INCREASED RISK)</w:t>
      </w:r>
    </w:p>
    <w:p>
      <w:r>
        <w:rPr>
          <w:b/>
        </w:rPr>
        <w:t>⚠ WARNING: Customer concentration increased from 77% to 93%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Customer</w:t>
            </w:r>
          </w:p>
        </w:tc>
        <w:tc>
          <w:tcPr>
            <w:tcW w:type="dxa" w:w="3120"/>
          </w:tcPr>
          <w:p>
            <w:r>
              <w:t>Revenue (R)</w:t>
            </w:r>
          </w:p>
        </w:tc>
        <w:tc>
          <w:tcPr>
            <w:tcW w:type="dxa" w:w="3120"/>
          </w:tcPr>
          <w:p>
            <w:r>
              <w:t>% of Wholesale</w:t>
            </w:r>
          </w:p>
        </w:tc>
      </w:tr>
      <w:tr>
        <w:tc>
          <w:tcPr>
            <w:tcW w:type="dxa" w:w="3120"/>
          </w:tcPr>
          <w:p>
            <w:r>
              <w:t>African Paper Products</w:t>
            </w:r>
          </w:p>
        </w:tc>
        <w:tc>
          <w:tcPr>
            <w:tcW w:type="dxa" w:w="3120"/>
          </w:tcPr>
          <w:p>
            <w:r>
              <w:t>178,777</w:t>
            </w:r>
          </w:p>
        </w:tc>
        <w:tc>
          <w:tcPr>
            <w:tcW w:type="dxa" w:w="3120"/>
          </w:tcPr>
          <w:p>
            <w:r>
              <w:t>41.1%</w:t>
            </w:r>
          </w:p>
        </w:tc>
      </w:tr>
      <w:tr>
        <w:tc>
          <w:tcPr>
            <w:tcW w:type="dxa" w:w="3120"/>
          </w:tcPr>
          <w:p>
            <w:r>
              <w:t>Vegmore Distribution</w:t>
            </w:r>
          </w:p>
        </w:tc>
        <w:tc>
          <w:tcPr>
            <w:tcW w:type="dxa" w:w="3120"/>
          </w:tcPr>
          <w:p>
            <w:r>
              <w:t>177,950</w:t>
            </w:r>
          </w:p>
        </w:tc>
        <w:tc>
          <w:tcPr>
            <w:tcW w:type="dxa" w:w="3120"/>
          </w:tcPr>
          <w:p>
            <w:r>
              <w:t>40.9%</w:t>
            </w:r>
          </w:p>
        </w:tc>
      </w:tr>
      <w:tr>
        <w:tc>
          <w:tcPr>
            <w:tcW w:type="dxa" w:w="3120"/>
          </w:tcPr>
          <w:p>
            <w:r>
              <w:t>Egg Designs</w:t>
            </w:r>
          </w:p>
        </w:tc>
        <w:tc>
          <w:tcPr>
            <w:tcW w:type="dxa" w:w="3120"/>
          </w:tcPr>
          <w:p>
            <w:r>
              <w:t>49,000</w:t>
            </w:r>
          </w:p>
        </w:tc>
        <w:tc>
          <w:tcPr>
            <w:tcW w:type="dxa" w:w="3120"/>
          </w:tcPr>
          <w:p>
            <w:r>
              <w:t>11.3%</w:t>
            </w:r>
          </w:p>
        </w:tc>
      </w:tr>
    </w:tbl>
    <w:p>
      <w:r>
        <w:rPr>
          <w:b/>
        </w:rPr>
        <w:t xml:space="preserve">CRITICAL: </w:t>
      </w:r>
      <w:r>
        <w:t>Egg Designs declined 88.7% (R435,000 → R49,000)</w:t>
      </w:r>
    </w:p>
    <w:p>
      <w:pPr>
        <w:pStyle w:val="Heading3"/>
      </w:pPr>
      <w:r>
        <w:t>Lost Customers - Major Revenue Impact</w:t>
      </w:r>
    </w:p>
    <w:p>
      <w:r>
        <w:rPr>
          <w:b/>
        </w:rPr>
        <w:t xml:space="preserve">• Art Culture Alliance Foundation: </w:t>
      </w:r>
      <w:r>
        <w:t>R360,000 → R0 (LOST)</w:t>
        <w:br/>
      </w:r>
      <w:r>
        <w:rPr>
          <w:b/>
        </w:rPr>
        <w:t xml:space="preserve">• Mathnwu Pottery: </w:t>
      </w:r>
      <w:r>
        <w:t>R123,000 → R0 (LOST)</w:t>
        <w:br/>
      </w:r>
      <w:r>
        <w:rPr>
          <w:b/>
        </w:rPr>
        <w:t xml:space="preserve">• Total Lost Revenue: </w:t>
      </w:r>
      <w:r>
        <w:t>R483,000 annually</w:t>
      </w:r>
    </w:p>
    <w:p>
      <w:r>
        <w:br w:type="page"/>
      </w:r>
    </w:p>
    <w:p>
      <w:pPr>
        <w:pStyle w:val="Heading1"/>
      </w:pPr>
      <w:r>
        <w:t>3. COMPLETE EBITDA CALCULATION</w:t>
      </w:r>
    </w:p>
    <w:p>
      <w:pPr>
        <w:pStyle w:val="Heading2"/>
      </w:pPr>
      <w:r>
        <w:t>Analysis Period: January - September 2025 (9 months)</w:t>
      </w:r>
    </w:p>
    <w:p>
      <w:pPr>
        <w:pStyle w:val="Heading3"/>
      </w:pPr>
      <w:r>
        <w:t>Depreciation Analysis</w:t>
      </w:r>
    </w:p>
    <w:p>
      <w:r>
        <w:t>Building Improvements:</w:t>
        <w:br/>
      </w:r>
      <w:r>
        <w:t>• December 2024: R376,522</w:t>
        <w:br/>
      </w:r>
      <w:r>
        <w:t>• September 2025: R845,942</w:t>
        <w:br/>
      </w:r>
      <w:r>
        <w:rPr>
          <w:b/>
        </w:rPr>
        <w:t xml:space="preserve">• Increase: </w:t>
      </w:r>
      <w:r>
        <w:t>R469,420 (major capital investment in 2025)</w:t>
        <w:br/>
        <w:br/>
      </w:r>
      <w:r>
        <w:t>Depreciation Estimates:</w:t>
        <w:br/>
      </w:r>
      <w:r>
        <w:t>• 2024 Annual: ~R111,678</w:t>
        <w:br/>
      </w:r>
      <w:r>
        <w:t>• 2025 (9 months): ~R83,759</w:t>
      </w:r>
    </w:p>
    <w:p>
      <w:pPr>
        <w:pStyle w:val="Heading3"/>
      </w:pPr>
      <w:r>
        <w:t>EBITDA Calculation Table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Line Item</w:t>
            </w:r>
          </w:p>
        </w:tc>
        <w:tc>
          <w:tcPr>
            <w:tcW w:type="dxa" w:w="3120"/>
          </w:tcPr>
          <w:p>
            <w:r>
              <w:t>Amount (R)</w:t>
            </w:r>
          </w:p>
        </w:tc>
        <w:tc>
          <w:tcPr>
            <w:tcW w:type="dxa" w:w="3120"/>
          </w:tcPr>
          <w:p>
            <w:r>
              <w:t>Notes</w:t>
            </w:r>
          </w:p>
        </w:tc>
      </w:tr>
      <w:tr>
        <w:tc>
          <w:tcPr>
            <w:tcW w:type="dxa" w:w="3120"/>
          </w:tcPr>
          <w:p>
            <w:r>
              <w:t>Reported Net Profit</w:t>
            </w:r>
          </w:p>
        </w:tc>
        <w:tc>
          <w:tcPr>
            <w:tcW w:type="dxa" w:w="3120"/>
          </w:tcPr>
          <w:p>
            <w:r>
              <w:t>1,126,511</w:t>
            </w:r>
          </w:p>
        </w:tc>
        <w:tc>
          <w:tcPr>
            <w:tcW w:type="dxa" w:w="3120"/>
          </w:tcPr>
          <w:p>
            <w:r>
              <w:t>Per P&amp;L</w:t>
            </w:r>
          </w:p>
        </w:tc>
      </w:tr>
      <w:tr>
        <w:tc>
          <w:tcPr>
            <w:tcW w:type="dxa" w:w="3120"/>
          </w:tcPr>
          <w:p>
            <w:r>
              <w:t>Add: Interest Expense</w:t>
            </w:r>
          </w:p>
        </w:tc>
        <w:tc>
          <w:tcPr>
            <w:tcW w:type="dxa" w:w="3120"/>
          </w:tcPr>
          <w:p>
            <w:r>
              <w:t>203,358</w:t>
            </w:r>
          </w:p>
        </w:tc>
        <w:tc>
          <w:tcPr>
            <w:tcW w:type="dxa" w:w="3120"/>
          </w:tcPr>
          <w:p>
            <w:r>
              <w:t>From P&amp;L</w:t>
            </w:r>
          </w:p>
        </w:tc>
      </w:tr>
      <w:tr>
        <w:tc>
          <w:tcPr>
            <w:tcW w:type="dxa" w:w="3120"/>
          </w:tcPr>
          <w:p>
            <w:r>
              <w:t>Add: Depreciation</w:t>
            </w:r>
          </w:p>
        </w:tc>
        <w:tc>
          <w:tcPr>
            <w:tcW w:type="dxa" w:w="3120"/>
          </w:tcPr>
          <w:p>
            <w:r>
              <w:t>83,759</w:t>
            </w:r>
          </w:p>
        </w:tc>
        <w:tc>
          <w:tcPr>
            <w:tcW w:type="dxa" w:w="3120"/>
          </w:tcPr>
          <w:p>
            <w:r>
              <w:t>Estimated 9mo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Core EBITDA</w:t>
            </w:r>
          </w:p>
        </w:tc>
        <w:tc>
          <w:tcPr>
            <w:tcW w:type="dxa" w:w="3120"/>
          </w:tcPr>
          <w:p>
            <w:r>
              <w:rPr>
                <w:b/>
              </w:rPr>
              <w:t>1,413,628</w:t>
            </w:r>
          </w:p>
        </w:tc>
        <w:tc>
          <w:tcPr>
            <w:tcW w:type="dxa" w:w="3120"/>
          </w:tcPr>
          <w:p>
            <w:r>
              <w:rPr>
                <w:b/>
              </w:rPr>
            </w:r>
          </w:p>
        </w:tc>
      </w:tr>
      <w:tr>
        <w:tc>
          <w:tcPr>
            <w:tcW w:type="dxa" w:w="3120"/>
          </w:tcPr>
          <w:p>
            <w:r>
              <w:t>OWNER ADD-BACKS:</w:t>
            </w:r>
          </w:p>
        </w:tc>
        <w:tc>
          <w:tcPr>
            <w:tcW w:type="dxa" w:w="3120"/>
          </w:tcPr>
          <w:p>
            <w:r/>
          </w:p>
        </w:tc>
        <w:tc>
          <w:tcPr>
            <w:tcW w:type="dxa" w:w="3120"/>
          </w:tcPr>
          <w:p>
            <w:r/>
          </w:p>
        </w:tc>
      </w:tr>
      <w:tr>
        <w:tc>
          <w:tcPr>
            <w:tcW w:type="dxa" w:w="3120"/>
          </w:tcPr>
          <w:p>
            <w:r>
              <w:t>Owner Medical/Personal</w:t>
            </w:r>
          </w:p>
        </w:tc>
        <w:tc>
          <w:tcPr>
            <w:tcW w:type="dxa" w:w="3120"/>
          </w:tcPr>
          <w:p>
            <w:r>
              <w:t>8,000</w:t>
            </w:r>
          </w:p>
        </w:tc>
        <w:tc>
          <w:tcPr>
            <w:tcW w:type="dxa" w:w="3120"/>
          </w:tcPr>
          <w:p>
            <w:r>
              <w:t>Per handover</w:t>
            </w:r>
          </w:p>
        </w:tc>
      </w:tr>
      <w:tr>
        <w:tc>
          <w:tcPr>
            <w:tcW w:type="dxa" w:w="3120"/>
          </w:tcPr>
          <w:p>
            <w:r>
              <w:t>Personal Expenses</w:t>
            </w:r>
          </w:p>
        </w:tc>
        <w:tc>
          <w:tcPr>
            <w:tcW w:type="dxa" w:w="3120"/>
          </w:tcPr>
          <w:p>
            <w:r>
              <w:t>796,428</w:t>
            </w:r>
          </w:p>
        </w:tc>
        <w:tc>
          <w:tcPr>
            <w:tcW w:type="dxa" w:w="3120"/>
          </w:tcPr>
          <w:p>
            <w:r>
              <w:t>R88,492/mo × 9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NORMALIZED EBITDA (9mo)</w:t>
            </w:r>
          </w:p>
        </w:tc>
        <w:tc>
          <w:tcPr>
            <w:tcW w:type="dxa" w:w="3120"/>
          </w:tcPr>
          <w:p>
            <w:r>
              <w:rPr>
                <w:b/>
              </w:rPr>
              <w:t>2,218,056</w:t>
            </w:r>
          </w:p>
        </w:tc>
        <w:tc>
          <w:tcPr>
            <w:tcW w:type="dxa" w:w="3120"/>
          </w:tcPr>
          <w:p>
            <w:r>
              <w:rPr>
                <w:b/>
              </w:rPr>
              <w:t>Annualized: R2,957,000</w:t>
            </w:r>
          </w:p>
        </w:tc>
      </w:tr>
    </w:tbl>
    <w:p>
      <w:r>
        <w:br w:type="page"/>
      </w:r>
    </w:p>
    <w:p>
      <w:pPr>
        <w:pStyle w:val="Heading1"/>
      </w:pPr>
      <w:r>
        <w:t>4. KEY VALUATION METRICS</w:t>
      </w:r>
    </w:p>
    <w:p>
      <w:pPr>
        <w:pStyle w:val="Heading2"/>
      </w:pPr>
      <w:r>
        <w:t>Revenue Mix (2025)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Revenue Stream</w:t>
            </w:r>
          </w:p>
        </w:tc>
        <w:tc>
          <w:tcPr>
            <w:tcW w:type="dxa" w:w="3120"/>
          </w:tcPr>
          <w:p>
            <w:r>
              <w:t>Amount (R)</w:t>
            </w:r>
          </w:p>
        </w:tc>
        <w:tc>
          <w:tcPr>
            <w:tcW w:type="dxa" w:w="3120"/>
          </w:tcPr>
          <w:p>
            <w:r>
              <w:t>Percentage</w:t>
            </w:r>
          </w:p>
        </w:tc>
      </w:tr>
      <w:tr>
        <w:tc>
          <w:tcPr>
            <w:tcW w:type="dxa" w:w="3120"/>
          </w:tcPr>
          <w:p>
            <w:r>
              <w:t>Sales</w:t>
            </w:r>
          </w:p>
        </w:tc>
        <w:tc>
          <w:tcPr>
            <w:tcW w:type="dxa" w:w="3120"/>
          </w:tcPr>
          <w:p>
            <w:r>
              <w:t>1,266,542</w:t>
            </w:r>
          </w:p>
        </w:tc>
        <w:tc>
          <w:tcPr>
            <w:tcW w:type="dxa" w:w="3120"/>
          </w:tcPr>
          <w:p>
            <w:r>
              <w:t>52%</w:t>
            </w:r>
          </w:p>
        </w:tc>
      </w:tr>
      <w:tr>
        <w:tc>
          <w:tcPr>
            <w:tcW w:type="dxa" w:w="3120"/>
          </w:tcPr>
          <w:p>
            <w:r>
              <w:t>Rental Income</w:t>
            </w:r>
          </w:p>
        </w:tc>
        <w:tc>
          <w:tcPr>
            <w:tcW w:type="dxa" w:w="3120"/>
          </w:tcPr>
          <w:p>
            <w:r>
              <w:t>1,141,451</w:t>
            </w:r>
          </w:p>
        </w:tc>
        <w:tc>
          <w:tcPr>
            <w:tcW w:type="dxa" w:w="3120"/>
          </w:tcPr>
          <w:p>
            <w:r>
              <w:t>47%</w:t>
            </w:r>
          </w:p>
        </w:tc>
      </w:tr>
      <w:tr>
        <w:tc>
          <w:tcPr>
            <w:tcW w:type="dxa" w:w="3120"/>
          </w:tcPr>
          <w:p>
            <w:r>
              <w:t>Other</w:t>
            </w:r>
          </w:p>
        </w:tc>
        <w:tc>
          <w:tcPr>
            <w:tcW w:type="dxa" w:w="3120"/>
          </w:tcPr>
          <w:p>
            <w:r>
              <w:t>45,651</w:t>
            </w:r>
          </w:p>
        </w:tc>
        <w:tc>
          <w:tcPr>
            <w:tcW w:type="dxa" w:w="3120"/>
          </w:tcPr>
          <w:p>
            <w:r>
              <w:t>1%</w:t>
            </w:r>
          </w:p>
        </w:tc>
      </w:tr>
    </w:tbl>
    <w:p>
      <w:r>
        <w:rPr>
          <w:b/>
        </w:rPr>
        <w:t xml:space="preserve">Note: </w:t>
      </w:r>
      <w:r>
        <w:t>Strong recurring rental income base provides revenue stability</w:t>
      </w:r>
    </w:p>
    <w:p>
      <w:pPr>
        <w:pStyle w:val="Heading2"/>
      </w:pPr>
      <w:r>
        <w:t>Asset Position</w:t>
      </w:r>
    </w:p>
    <w:p>
      <w:r>
        <w:rPr>
          <w:b/>
        </w:rPr>
        <w:t xml:space="preserve">• Cash: </w:t>
      </w:r>
      <w:r>
        <w:t>R652,000 (healthy liquidity position)</w:t>
        <w:br/>
      </w:r>
      <w:r>
        <w:rPr>
          <w:b/>
        </w:rPr>
        <w:t xml:space="preserve">• Fixed Assets: </w:t>
      </w:r>
      <w:r>
        <w:t>R848,000 (R469,000 added in 2025)</w:t>
        <w:br/>
      </w:r>
      <w:r>
        <w:rPr>
          <w:b/>
        </w:rPr>
        <w:t xml:space="preserve">• Debt: </w:t>
      </w:r>
      <w:r>
        <w:t>R68,000 loan only (minimal leverage)</w:t>
        <w:br/>
      </w:r>
      <w:r>
        <w:rPr>
          <w:b/>
        </w:rPr>
        <w:t xml:space="preserve">• Owner Drawings: </w:t>
      </w:r>
      <w:r>
        <w:t>R1,290,000 (demonstrates strong cash generation)</w:t>
      </w:r>
    </w:p>
    <w:p>
      <w:pPr>
        <w:pStyle w:val="Heading2"/>
      </w:pPr>
      <w:r>
        <w:t>Market Position</w:t>
      </w:r>
    </w:p>
    <w:p>
      <w:r>
        <w:rPr>
          <w:b/>
        </w:rPr>
        <w:t xml:space="preserve">• Market Share: </w:t>
      </w:r>
      <w:r>
        <w:t>33.3% in Durban manufacturing/supply</w:t>
        <w:br/>
      </w:r>
      <w:r>
        <w:rPr>
          <w:b/>
        </w:rPr>
        <w:t xml:space="preserve">• Industry Status: </w:t>
      </w:r>
      <w:r>
        <w:t>"Foremost supplier in South Africa for ceramic arts &amp; crafts"</w:t>
        <w:br/>
      </w:r>
      <w:r>
        <w:rPr>
          <w:b/>
        </w:rPr>
        <w:t xml:space="preserve">• Competition: </w:t>
      </w:r>
      <w:r>
        <w:t>80% of market is retail-focused (limited manufacturing competition)</w:t>
      </w:r>
    </w:p>
    <w:p>
      <w:r>
        <w:br w:type="page"/>
      </w:r>
    </w:p>
    <w:p>
      <w:pPr>
        <w:pStyle w:val="Heading1"/>
      </w:pPr>
      <w:r>
        <w:t>5. DUE DILIGENCE RED FLAGS</w:t>
      </w:r>
    </w:p>
    <w:p>
      <w:r>
        <w:rPr>
          <w:b/>
        </w:rPr>
        <w:t>🚩 Customer Loss:</w:t>
        <w:br/>
      </w:r>
      <w:r>
        <w:t xml:space="preserve">   R483,000 annual revenue from 2 lost major customers</w:t>
        <w:br/>
        <w:br/>
      </w:r>
      <w:r>
        <w:rPr>
          <w:b/>
        </w:rPr>
        <w:t>🚩 Customer Concentration:</w:t>
        <w:br/>
      </w:r>
      <w:r>
        <w:t xml:space="preserve">   93% of wholesale revenue from only 3 customers (very high risk)</w:t>
        <w:br/>
        <w:br/>
      </w:r>
      <w:r>
        <w:rPr>
          <w:b/>
        </w:rPr>
        <w:t>🚩 Gross Margin Decline:</w:t>
        <w:br/>
      </w:r>
      <w:r>
        <w:t xml:space="preserve">   83% (2024) → 75% (2025) - investigate COGS increase</w:t>
        <w:br/>
        <w:br/>
      </w:r>
      <w:r>
        <w:rPr>
          <w:b/>
        </w:rPr>
        <w:t>🚩 Wholesale Revenue Decline:</w:t>
        <w:br/>
      </w:r>
      <w:r>
        <w:t xml:space="preserve">   R1,428,294 (2024) → R434,903 (2025 8-month trend) = -70% decline</w:t>
        <w:br/>
        <w:br/>
      </w:r>
      <w:r>
        <w:rPr>
          <w:b/>
        </w:rPr>
        <w:t>🚩 Financial Statement Discrepancy:</w:t>
        <w:br/>
      </w:r>
      <w:r>
        <w:t xml:space="preserve">   R1,130,000 P&amp;L profit vs R777,000 equity increase on balance sheet</w:t>
      </w:r>
    </w:p>
    <w:p>
      <w:r>
        <w:br w:type="page"/>
      </w:r>
    </w:p>
    <w:p>
      <w:pPr>
        <w:pStyle w:val="Heading1"/>
      </w:pPr>
      <w:r>
        <w:t>6. VALUATION SUMMARY</w:t>
      </w:r>
    </w:p>
    <w:p>
      <w:pPr>
        <w:pStyle w:val="Heading2"/>
      </w:pPr>
      <w:r>
        <w:t>Multiple Approach (4-6x EBITDA)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Metric</w:t>
            </w:r>
          </w:p>
        </w:tc>
        <w:tc>
          <w:tcPr>
            <w:tcW w:type="dxa" w:w="4680"/>
          </w:tcPr>
          <w:p>
            <w:r>
              <w:t>Value (R)</w:t>
            </w:r>
          </w:p>
        </w:tc>
      </w:tr>
      <w:tr>
        <w:tc>
          <w:tcPr>
            <w:tcW w:type="dxa" w:w="4680"/>
          </w:tcPr>
          <w:p>
            <w:r>
              <w:t>Normalized EBITDA (Annualized)</w:t>
            </w:r>
          </w:p>
        </w:tc>
        <w:tc>
          <w:tcPr>
            <w:tcW w:type="dxa" w:w="4680"/>
          </w:tcPr>
          <w:p>
            <w:r>
              <w:t>2,957,000</w:t>
            </w:r>
          </w:p>
        </w:tc>
      </w:tr>
      <w:tr>
        <w:tc>
          <w:tcPr>
            <w:tcW w:type="dxa" w:w="4680"/>
          </w:tcPr>
          <w:p>
            <w:r>
              <w:t>At 4.3x Multiple</w:t>
            </w:r>
          </w:p>
        </w:tc>
        <w:tc>
          <w:tcPr>
            <w:tcW w:type="dxa" w:w="4680"/>
          </w:tcPr>
          <w:p>
            <w:r>
              <w:t>12,715,100</w:t>
            </w:r>
          </w:p>
        </w:tc>
      </w:tr>
      <w:tr>
        <w:tc>
          <w:tcPr>
            <w:tcW w:type="dxa" w:w="4680"/>
          </w:tcPr>
          <w:p>
            <w:r>
              <w:t>At 5.0x Multiple</w:t>
            </w:r>
          </w:p>
        </w:tc>
        <w:tc>
          <w:tcPr>
            <w:tcW w:type="dxa" w:w="4680"/>
          </w:tcPr>
          <w:p>
            <w:r>
              <w:t>14,785,000</w:t>
            </w:r>
          </w:p>
        </w:tc>
      </w:tr>
    </w:tbl>
    <w:p>
      <w:pPr>
        <w:pStyle w:val="Heading2"/>
      </w:pPr>
      <w:r>
        <w:t>Valuation Adjustments</w:t>
      </w:r>
    </w:p>
    <w:p>
      <w:r>
        <w:rPr>
          <w:b/>
        </w:rPr>
        <w:t>Negative Adjustments:</w:t>
        <w:br/>
      </w:r>
      <w:r>
        <w:t>• Customer concentration risk: -10% to -15%</w:t>
        <w:br/>
        <w:br/>
      </w:r>
      <w:r>
        <w:rPr>
          <w:b/>
        </w:rPr>
        <w:t>Positive Adjustments:</w:t>
        <w:br/>
      </w:r>
      <w:r>
        <w:t>• Dominant market position: +5% to +10%</w:t>
        <w:br/>
        <w:br/>
      </w:r>
    </w:p>
    <w:p>
      <w:pPr>
        <w:jc w:val="center"/>
      </w:pPr>
      <w:r>
        <w:rPr>
          <w:b/>
        </w:rPr>
        <w:t>SUGGESTED VALUATION RANGE: R11,000,000 - R14,000,000</w:t>
      </w:r>
    </w:p>
    <w:p>
      <w:r>
        <w:br w:type="page"/>
      </w:r>
    </w:p>
    <w:p>
      <w:pPr>
        <w:pStyle w:val="Heading1"/>
      </w:pPr>
      <w:r>
        <w:t>7. IMMEDIATE BUYER ACTIONS REQUIRED</w:t>
      </w:r>
    </w:p>
    <w:p>
      <w:pPr>
        <w:pStyle w:val="Heading2"/>
      </w:pPr>
      <w:r>
        <w:t>Customer Relationship Due Diligence</w:t>
      </w:r>
    </w:p>
    <w:p>
      <w:r>
        <w:rPr>
          <w:b/>
        </w:rPr>
        <w:t>Priority Actions:</w:t>
        <w:br/>
      </w:r>
      <w:r>
        <w:t>□ Interview African Paper Products &amp; Vegmore (represent 81% of current revenue)</w:t>
        <w:br/>
      </w:r>
      <w:r>
        <w:t>□ Investigate reasons for Egg Designs 88.7% revenue decline</w:t>
        <w:br/>
      </w:r>
      <w:r>
        <w:t>□ Negotiate and secure customer retention agreements</w:t>
        <w:br/>
      </w:r>
      <w:r>
        <w:t>□ Assess customer contract terms and renewal dates</w:t>
      </w:r>
    </w:p>
    <w:p>
      <w:pPr>
        <w:pStyle w:val="Heading2"/>
      </w:pPr>
      <w:r>
        <w:t>Sales Reconciliation</w:t>
      </w:r>
    </w:p>
    <w:p>
      <w:r>
        <w:rPr>
          <w:b/>
        </w:rPr>
        <w:t>Required Analysis:</w:t>
        <w:br/>
      </w:r>
      <w:r>
        <w:t>□ Bank statement review to verify R1,995,629 total sales (2024)</w:t>
        <w:br/>
      </w:r>
      <w:r>
        <w:t>□ POS system audit for R831,639 unexplained sales (2025)</w:t>
        <w:br/>
      </w:r>
      <w:r>
        <w:t>□ Cash handling procedures review</w:t>
        <w:br/>
      </w:r>
      <w:r>
        <w:t>□ Revenue recognition policy verification</w:t>
      </w:r>
    </w:p>
    <w:p>
      <w:pPr>
        <w:pStyle w:val="Heading2"/>
      </w:pPr>
      <w:r>
        <w:t>Property/Lease Clarification</w:t>
      </w:r>
    </w:p>
    <w:p>
      <w:r>
        <w:rPr>
          <w:b/>
        </w:rPr>
        <w:t>Critical Items:</w:t>
        <w:br/>
      </w:r>
      <w:r>
        <w:t>□ Clarify R18,842/month property bond in personal add-backs</w:t>
        <w:br/>
      </w:r>
      <w:r>
        <w:t>□ Determine if property is owned or leased</w:t>
        <w:br/>
      </w:r>
      <w:r>
        <w:t>□ Negotiate lease terms or purchase agreement</w:t>
        <w:br/>
      </w:r>
      <w:r>
        <w:t>□ Obtain property valuation if owned</w:t>
      </w:r>
    </w:p>
    <w:p>
      <w:pPr>
        <w:pStyle w:val="Heading2"/>
      </w:pPr>
      <w:r>
        <w:t>Working Capital Requirements</w:t>
      </w:r>
    </w:p>
    <w:p>
      <w:r>
        <w:rPr>
          <w:b/>
        </w:rPr>
        <w:t>Financial Obligations:</w:t>
        <w:br/>
      </w:r>
      <w:r>
        <w:t>□ VAT payable: R560,000 (develop settlement plan)</w:t>
        <w:br/>
      </w:r>
      <w:r>
        <w:t>□ Analyze impact of R1,290,000 owner drawings</w:t>
        <w:br/>
      </w:r>
      <w:r>
        <w:t>□ Calculate true working capital requirements</w:t>
        <w:br/>
      </w:r>
      <w:r>
        <w:t>□ Review creditor payment terms and aging</w:t>
      </w:r>
    </w:p>
    <w:p/>
    <w:p/>
    <w:p>
      <w:pPr>
        <w:jc w:val="center"/>
      </w:pPr>
      <w:r>
        <w:rPr>
          <w:i/>
        </w:rPr>
        <w:t>Document prepared for internal due diligence purposes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