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Menl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LibreOffice/6.4.6.2$Linux_X86_64 LibreOffice_project/40$Build-2</Application>
  <Pages>3</Pages>
  <Words>367</Words>
  <Characters>2413</Characters>
  <CharactersWithSpaces>2833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2021-02-17T13:02:58Z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