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</w:pPr>
      <w:r>
        <w:rPr>
          <w:rFonts w:eastAsia="Helvetica" w:hint="eastAsia"/>
          <w:rtl w:val="0"/>
          <w:lang w:val="zh-TW" w:eastAsia="zh-TW"/>
        </w:rPr>
        <w:t>剩餘的部分</w:t>
      </w:r>
    </w:p>
    <w:p>
      <w:pPr>
        <w:pStyle w:val="正文"/>
        <w:rPr>
          <w:sz w:val="24"/>
          <w:szCs w:val="24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『導遊』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CN" w:eastAsia="zh-CN"/>
        </w:rPr>
        <w:t>－訂餐搜索餐厅功能未能搜索指定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城市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名稱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附近景點</w:t>
      </w:r>
      <w:r>
        <w:rPr>
          <w:rFonts w:hAnsi="Consolas" w:hint="default"/>
          <w:sz w:val="24"/>
          <w:szCs w:val="24"/>
          <w:rtl w:val="0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－訂餐部分支付流程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－訂餐部分上傳收據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</w:rPr>
        <w:t>『意外』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－上傳圖片功能未實現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－回報上傳中選擇上傳多張圖片功能未實現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『餐廳』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－到店時進入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用餐中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－到店時進入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未結算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－今日訂單的操作和狀態未顯示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－訂單信息中的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金額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未計算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－報表查詢未實現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『飯店』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－到店時進入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ascii="Consolas"/>
          <w:sz w:val="24"/>
          <w:szCs w:val="24"/>
          <w:rtl w:val="0"/>
        </w:rPr>
        <w:t>CHKIN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－到店時進入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未結算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－今日訂單的操作和狀態未顯示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－訂單信息中的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房價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金額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未計算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－報表查詢未實現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ja-JP" w:eastAsia="ja-JP"/>
        </w:rPr>
        <w:t>『後台管理』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－旅行社管理中的搜索功能未能使用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－餐廳管理中的搜索功能未能使用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－飯店管理中的搜索功能未能使用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－導遊管理中的搜索功能未能使用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－報表查詢未完成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ja-JP" w:eastAsia="ja-JP"/>
        </w:rPr>
        <w:t>『旅行社後台』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－旅行社基本資料的修改未實現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－行程進度中的查詢功能未能使用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