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SU NING</w:t>
      </w:r>
    </w:p>
    <w:p>
      <w:pPr>
        <w:jc w:val="left"/>
      </w:pPr>
      <w:r>
        <w:rPr>
          <w:i/>
          <w:sz w:val="28"/>
        </w:rPr>
        <w:t>Painter, Curator, Designer, Writer</w:t>
      </w:r>
    </w:p>
    <w:p>
      <w:r>
        <w:t>Su Ning (a Chinese national), founder of the Pure Shadow Art School, spent extensive periods living in Africa and traveling extensively across ASEAN and the Middle East. He engages in cultural creation as a painter, curator, designer, writer, poet, and scholar.</w:t>
      </w:r>
    </w:p>
    <w:p>
      <w:r>
        <w:t>His publications domestically and internationally include The African Sky, Nile·Nile, Near the Nile, SUDAN IN MY EYES, HABIBI SUDAN, LONELY SUAKIN, MABURUK SUDAN, and Sun and Night. His works were selected as state gifts by African presidents and featured in United Nations publications.</w:t>
      </w:r>
    </w:p>
    <w:p>
      <w:r>
        <w:t>The works have been collected by numerous official cultural institutions, including the British Museum, China National Library, and Myanmar National Library. Long-form literary works such as Brahman Flowers: Myanmar have become prominent vehicles for Sino-Myanmar cultural exchange in recent years.</w:t>
      </w:r>
    </w:p>
    <w:p>
      <w:r>
        <w:t>Suning has also produced numerous cross-disciplinary works in areas including stage design, product design, column writing, lifestyle aesthetics planning, art exhibition curation, and commercial space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