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1 — FUNDAMENTOS DE SEGURIDAD DE LA INFORMACIÓN</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1.1 Objetivos de Seguridad Organizacional</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4.1 (Contexto de la organización) </w:t>
            </w:r>
            <w:r>
              <w:rPr>
                <w:rFonts w:ascii="Palatino Linotype" w:cs="Palatino Linotype" w:eastAsia="Palatino Linotype" w:hAnsi="Palatino Linotype"/>
                <w:i/>
                <w:iCs/>
                <w:color w:val="2C2C2C"/>
                <w:sz w:val="18"/>
                <w:szCs w:val="18"/>
              </w:rPr>
              <w:t xml:space="preserve">Se recomienda que la organización determinar las cuestiones externas e internas que son pertinentes para su propósito y que afectan a su capacidad para lograr los resultados previstos de su SGSI.</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La seguridad de la información en NovaTech Solutions no puede entenderse como una función exclusiva del área de Tecnologías de la Información. Constituye un pilar estratégico que sostiene la continuidad operativa, la reputación empresarial y el cumplimiento legal de la organización. Con un crecimiento acelerado durante los últimos cinco años —pasando de un pequeño estudio de desarrollo a una empresa con más de cien empleados y presencia nacional— NovaTech ha adquirido responsabilidades proporcionales sobre activos de información de alto valor.</w:t>
      </w:r>
    </w:p>
    <w:p>
      <w:pPr>
        <w:spacing w:after="100" w:before="80"/>
        <w:jc w:val="both"/>
      </w:pPr>
      <w:r>
        <w:rPr>
          <w:rFonts w:ascii="Palatino Linotype" w:cs="Palatino Linotype" w:eastAsia="Palatino Linotype" w:hAnsi="Palatino Linotype"/>
          <w:color w:val="2C2C2C"/>
          <w:sz w:val="21"/>
          <w:szCs w:val="21"/>
        </w:rPr>
        <w:t xml:space="preserve">El objetivo principal del SGSI es garantizar la confianza de los clientes y la viabilidad operativa a largo plazo. Para ello, la seguridad debe actuar como habilitador del negocio: proteger la expansión del portafolio de soluciones SaaS, salvaguardar las alianzas con proveedores de infraestructura en la nube y asegurar que los procesos de desarrollo, soporte y administración operen dentro de un marco de riesgo controlado y documentado.</w:t>
      </w:r>
    </w:p>
    <w:p>
      <w:pPr>
        <w:spacing w:after="40" w:before="40"/>
      </w:pPr>
    </w:p>
    <w:p>
      <w:pPr>
        <w:spacing w:after="80" w:before="200"/>
      </w:pPr>
      <w:r>
        <w:rPr>
          <w:rFonts w:ascii="Georgia" w:cs="Georgia" w:eastAsia="Georgia" w:hAnsi="Georgia"/>
          <w:b/>
          <w:bCs/>
          <w:color w:val="1B3A2D"/>
          <w:sz w:val="21"/>
          <w:szCs w:val="21"/>
        </w:rPr>
        <w:t xml:space="preserve">Objetivos específicos del presente SGSI propuesto Solutions:</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Proteger la confidencialidad, integridad y disponibilidad de la información gestionada por la organización.</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Establecer un marco formal de gestión de riesgos basado en la metodología OCTAVE Allegro.</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Garantizar el cumplimiento de la Ley Federal de Protección de Datos Personales en Posesión de los Particulares (LFPDPPP).</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Definir roles, responsabilidades y procesos claros para la respuesta a incidentes de seguridad.</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Promover una cultura organizacional de seguridad que reduzca los riesgos derivados del factor humano.</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Alinear la gestión de seguridad con los estándares internacionales ISO/IEC 27001:2022 e ISO/IEC 27002:2022.</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1.2 Alcance del Sistema de Gestión de Seguridad de la Información</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4.3 (Determinación del alcance del SGSI) </w:t>
            </w:r>
            <w:r>
              <w:rPr>
                <w:rFonts w:ascii="Palatino Linotype" w:cs="Palatino Linotype" w:eastAsia="Palatino Linotype" w:hAnsi="Palatino Linotype"/>
                <w:i/>
                <w:iCs/>
                <w:color w:val="2C2C2C"/>
                <w:sz w:val="18"/>
                <w:szCs w:val="18"/>
              </w:rPr>
              <w:t xml:space="preserve">Se recomienda que la organización determinar los límites y la aplicabilidad del SGSI para establecer su alcance, considerando las cuestiones externas e internas referidas en 4.1, los requisitos referidos en 4.2, y las interfaces y dependencias entre las actividades realizadas por la organización y las realizadas por otras organizaciones.</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La determinación del alcance es el primer acto formal del SGSI: delimita con precisión qué sistemas, procesos, ubicaciones y personas quedan bajo el paraguas del sistema de gestión. Un alcance mal definido genera vacíos de cobertura —activos desprotegidos— o esfuerzos innecesarios sobre áreas que no representan riesgo significativo. Para NovaTech Solutions, el alcance se ha determinado considerando los activos de mayor criticidad, los procesos de negocio más expuestos y las obligaciones legales vigentes.</w:t>
      </w:r>
    </w:p>
    <w:p>
      <w:pPr>
        <w:spacing w:after="120" w:before="280"/>
      </w:pPr>
      <w:r>
        <w:rPr>
          <w:rFonts w:ascii="Georgia" w:cs="Georgia" w:eastAsia="Georgia" w:hAnsi="Georgia"/>
          <w:b/>
          <w:bCs/>
          <w:color w:val="C17F24"/>
          <w:sz w:val="24"/>
          <w:szCs w:val="24"/>
        </w:rPr>
        <w:t xml:space="preserve">▸ Declaración de Alcance</w:t>
      </w:r>
    </w:p>
    <w:p>
      <w:pPr>
        <w:spacing w:after="100" w:before="80"/>
        <w:jc w:val="both"/>
      </w:pPr>
      <w:r>
        <w:rPr>
          <w:rFonts w:ascii="Palatino Linotype" w:cs="Palatino Linotype" w:eastAsia="Palatino Linotype" w:hAnsi="Palatino Linotype"/>
          <w:color w:val="2C2C2C"/>
          <w:sz w:val="21"/>
          <w:szCs w:val="21"/>
        </w:rPr>
        <w:t xml:space="preserve">El presente SGSI propuesto Solutions cubre todos los procesos, sistemas de información, activos tecnológicos y personas involucradas en el desarrollo, soporte y administración de plataformas digitales para clientes externos, operados desde las instalaciones corporativas ubicadas en Monterrey, Nuevo León, México, incluyendo los entornos de infraestructura tecnológica en la nube gestionados bajo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Dimensión</w:t>
            </w:r>
          </w:p>
        </w:tc>
        <w:tc>
          <w:tcPr>
            <w:tcW w:type="dxa" w:w="45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Elementos incluidos en el alcance</w:t>
            </w:r>
          </w:p>
        </w:tc>
        <w:tc>
          <w:tcPr>
            <w:tcW w:type="dxa" w:w="26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Justificación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Ubicación geográfica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Instalaciones corporativas en Monterrey, N.L. — Entornos cloud administrados remotamente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Sede única con personal 100% presencial y remoto</w:t>
            </w:r>
          </w:p>
        </w:tc>
      </w:tr>
      <w:tr>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Departamentos</w:t>
            </w:r>
          </w:p>
        </w:tc>
        <w:tc>
          <w:tcPr>
            <w:tcW w:type="dxa" w:w="4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Desarrollo de Software · Atención a Clientes · Administración (incluyendo RRHH)</w:t>
            </w:r>
          </w:p>
        </w:tc>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Los tres departamentos gestionan activos de información críticos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Sistemas de información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Repositorios Git · Servidores CI/CD · CRM · Bases de datos de clientes · Correo corporativo · Almacenamiento en nube · Sistemas de RRHH y nómina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Sistemas que procesan información clasificada como Confidencial o Crítica</w:t>
            </w:r>
          </w:p>
        </w:tc>
      </w:tr>
      <w:tr>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Personal</w:t>
            </w:r>
          </w:p>
        </w:tc>
        <w:tc>
          <w:tcPr>
            <w:tcW w:type="dxa" w:w="4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120 empleados directos — Proveedores con acceso a sistemas internos</w:t>
            </w:r>
          </w:p>
        </w:tc>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Todo el personal con acceso a activos de información dentro del alcance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Procesos de negocio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Desarrollo de plataformas · Soporte técnico · Facturación · Gestión contractual · Gestión de RRHH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Procesos cuya interrupción impacta directamente la operación o el cumplimiento legal</w:t>
            </w:r>
          </w:p>
        </w:tc>
      </w:tr>
    </w:tbl>
    <w:p>
      <w:pPr>
        <w:spacing w:after="80" w:before="200"/>
      </w:pPr>
      <w:r>
        <w:rPr>
          <w:rFonts w:ascii="Georgia" w:cs="Georgia" w:eastAsia="Georgia" w:hAnsi="Georgia"/>
          <w:b/>
          <w:bCs/>
          <w:color w:val="1B3A2D"/>
          <w:sz w:val="21"/>
          <w:szCs w:val="21"/>
        </w:rPr>
        <w:t xml:space="preserve">Exclusiones justificadas del alcance:</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Sistemas de terceros operados exclusivamente por proveedores de nube bajo sus propios marcos de seguridad certificados (infraestructura física de los data centers).</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Equipos personales de empleados no utilizados para acceder a sistemas corporativos.</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Instalaciones físicas de clientes: NovaTech no tiene control sobre los entornos donde sus clientes despliegan los productos entregados.</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1.3 Análisis de la Triada CIA: Confidencialidad, Integridad y Disponibilidad</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6.1.2 (Evaluación de riesgos de seguridad de la información) </w:t>
            </w:r>
            <w:r>
              <w:rPr>
                <w:rFonts w:ascii="Palatino Linotype" w:cs="Palatino Linotype" w:eastAsia="Palatino Linotype" w:hAnsi="Palatino Linotype"/>
                <w:i/>
                <w:iCs/>
                <w:color w:val="2C2C2C"/>
                <w:sz w:val="18"/>
                <w:szCs w:val="18"/>
              </w:rPr>
              <w:t xml:space="preserve">Se recomienda que la organización definir criterios de riesgo alineados con los objetivos de confidencialidad, integridad y disponibilidad para cada activo de información crítico identificado en el alcance del SGSI.</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La triada CIA constituye el fundamento conceptual sobre el cual se construye el presente SGSI propuesto Solutions. Cada pilar debe evaluarse en función del contexto específico de la organización, tomando como referencia los incidentes documentados durante la revisión interna que motivó el inicio del presente proyecto.</w:t>
      </w:r>
    </w:p>
    <w:p>
      <w:pPr>
        <w:spacing w:after="120" w:before="280"/>
      </w:pPr>
      <w:r>
        <w:rPr>
          <w:rFonts w:ascii="Georgia" w:cs="Georgia" w:eastAsia="Georgia" w:hAnsi="Georgia"/>
          <w:b/>
          <w:bCs/>
          <w:color w:val="C17F24"/>
          <w:sz w:val="24"/>
          <w:szCs w:val="24"/>
        </w:rPr>
        <w:t xml:space="preserve">▸ a) Confidencialidad</w:t>
      </w:r>
    </w:p>
    <w:p>
      <w:pPr>
        <w:spacing w:after="100" w:before="80"/>
        <w:jc w:val="both"/>
      </w:pPr>
      <w:r>
        <w:rPr>
          <w:rFonts w:ascii="Palatino Linotype" w:cs="Palatino Linotype" w:eastAsia="Palatino Linotype" w:hAnsi="Palatino Linotype"/>
          <w:color w:val="2C2C2C"/>
          <w:sz w:val="21"/>
          <w:szCs w:val="21"/>
        </w:rPr>
        <w:t xml:space="preserve">La confidencialidad garantiza que la información sea accesible únicamente por entidades debidamente autorizadas. En NovaTech, este pilar es de criticidad extrema para los datos personales de clientes y empleados, la información financiera, los documentos contractuales y las credenciales de acceso. El incidente donde un empleado del área de Atención a Clientes reenvió accidentalmente una conversación de soporte con datos de contacto y detalles técnicos del servicio a una dirección incorrecta representa una vulneración directa a este principio. La ausencia de protocolos formales de manejo de información confidencial constituye la causa raíz de este tipo de incidentes.</w:t>
      </w:r>
    </w:p>
    <w:p>
      <w:pPr>
        <w:spacing w:after="120" w:before="280"/>
      </w:pPr>
      <w:r>
        <w:rPr>
          <w:rFonts w:ascii="Georgia" w:cs="Georgia" w:eastAsia="Georgia" w:hAnsi="Georgia"/>
          <w:b/>
          <w:bCs/>
          <w:color w:val="C17F24"/>
          <w:sz w:val="24"/>
          <w:szCs w:val="24"/>
        </w:rPr>
        <w:t xml:space="preserve">▸ b) Integridad</w:t>
      </w:r>
    </w:p>
    <w:p>
      <w:pPr>
        <w:spacing w:after="100" w:before="80"/>
        <w:jc w:val="both"/>
      </w:pPr>
      <w:r>
        <w:rPr>
          <w:rFonts w:ascii="Palatino Linotype" w:cs="Palatino Linotype" w:eastAsia="Palatino Linotype" w:hAnsi="Palatino Linotype"/>
          <w:color w:val="2C2C2C"/>
          <w:sz w:val="21"/>
          <w:szCs w:val="21"/>
        </w:rPr>
        <w:t xml:space="preserve">La integridad protege la exactitud, completitud y confiabilidad de la información y los métodos de procesamiento. El código fuente de las plataformas desarrolladas es el activo donde la integridad resulta primordial. El acceso no autorizado a los repositorios Git desde una dirección IP desconocida durante la madrugada —que resultó en la descarga de componentes reutilizables de múltiples proyectos— evidenció la ausencia de controles de auditoría, monitoreo de modificaciones y autenticación multifactor. Una manipulación del código podría comprometer la integridad funcional de los productos entregados a los clientes.</w:t>
      </w:r>
    </w:p>
    <w:p>
      <w:pPr>
        <w:spacing w:after="120" w:before="280"/>
      </w:pPr>
      <w:r>
        <w:rPr>
          <w:rFonts w:ascii="Georgia" w:cs="Georgia" w:eastAsia="Georgia" w:hAnsi="Georgia"/>
          <w:b/>
          <w:bCs/>
          <w:color w:val="C17F24"/>
          <w:sz w:val="24"/>
          <w:szCs w:val="24"/>
        </w:rPr>
        <w:t xml:space="preserve">▸ c) Disponibilidad</w:t>
      </w:r>
    </w:p>
    <w:p>
      <w:pPr>
        <w:spacing w:after="100" w:before="80"/>
        <w:jc w:val="both"/>
      </w:pPr>
      <w:r>
        <w:rPr>
          <w:rFonts w:ascii="Palatino Linotype" w:cs="Palatino Linotype" w:eastAsia="Palatino Linotype" w:hAnsi="Palatino Linotype"/>
          <w:color w:val="2C2C2C"/>
          <w:sz w:val="21"/>
          <w:szCs w:val="21"/>
        </w:rPr>
        <w:t xml:space="preserve">La disponibilidad asegura que los usuarios autorizados puedan acceder a la información cuando lo requieran, sin interrupciones no planificadas. Este pilar aplica directamente a la infraestructura tecnológica crítica: servidores en la nube, aplicaciones web, bases de datos y sistemas CRM. La caída del sistema CRM durante casi seis horas, originada por una mala configuración en una actualización de servidor, demostró que la falta de gestión formal de cambios y planes de recuperación representa un riesgo severo para la continuidad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Pilar CIA</w:t>
            </w:r>
          </w:p>
        </w:tc>
        <w:tc>
          <w:tcPr>
            <w:tcW w:type="dxa" w:w="37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Activos Críticos en NovaTech</w:t>
            </w:r>
          </w:p>
        </w:tc>
        <w:tc>
          <w:tcPr>
            <w:tcW w:type="dxa" w:w="34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Incidente Relacionado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Confidencialidad</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Datos personales de clientes/empleados, información financiera, credenciales, contratos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Reenvío accidental de datos de clientes por correo electrónico</w:t>
            </w:r>
          </w:p>
        </w:tc>
      </w:tr>
      <w:tr>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Integridad</w:t>
            </w:r>
          </w:p>
        </w:tc>
        <w:tc>
          <w:tcPr>
            <w:tcW w:type="dxa" w:w="37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Código fuente, repositorios Git, componentes reutilizables de software</w:t>
            </w:r>
          </w:p>
        </w:tc>
        <w:tc>
          <w:tcPr>
            <w:tcW w:type="dxa" w:w="34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no autorizado a repositorios desde IP desconocida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Disponibilidad</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Sistema CRM, servidores en la nube, aplicaciones web, bases de datos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Caída del CRM por 6 horas por mala configuración de actualización</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1.4 Importancia de la Seguridad como Pilar Organizacional</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5.1 (Liderazgo y compromiso) </w:t>
            </w:r>
            <w:r>
              <w:rPr>
                <w:rFonts w:ascii="Palatino Linotype" w:cs="Palatino Linotype" w:eastAsia="Palatino Linotype" w:hAnsi="Palatino Linotype"/>
                <w:i/>
                <w:iCs/>
                <w:color w:val="2C2C2C"/>
                <w:sz w:val="18"/>
                <w:szCs w:val="18"/>
              </w:rPr>
              <w:t xml:space="preserve">La alta dirección debe demostrar liderazgo y compromiso con respecto al SGSI, asegurando que la política de seguridad sea compatible con la dirección estratégica de la organización.</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Los tres incidentes documentados en NovaTech Solutions —el acceso no autorizado al repositorio, la filtración silenciosa de datos por error humano y la caída prolongada del CRM— no son eventos aislados. Constituyen síntomas de una vulnerabilidad estructural: la seguridad ha funcionado de manera improvisada, dependiendo de decisiones técnicas individuales en lugar de un sistema de gestión formalizado.</w:t>
      </w:r>
    </w:p>
    <w:p>
      <w:pPr>
        <w:spacing w:after="100" w:before="80"/>
        <w:jc w:val="both"/>
      </w:pPr>
      <w:r>
        <w:rPr>
          <w:rFonts w:ascii="Palatino Linotype" w:cs="Palatino Linotype" w:eastAsia="Palatino Linotype" w:hAnsi="Palatino Linotype"/>
          <w:color w:val="2C2C2C"/>
          <w:sz w:val="21"/>
          <w:szCs w:val="21"/>
        </w:rPr>
        <w:t xml:space="preserve">La decisión estratégica de implementar un SGSI responde a una necesidad del negocio tan concreta como expandir el portafolio SaaS o fortalecer alianzas comerciales. La reputación de NovaTech depende directamente de la confianza que depositan sus clientes en la organización para proteger su información. En el contexto digital actual, una violación de seguridad no es únicamente un problema técnico: es un evento con consecuencias legales, financieras y reputacionales que pueden comprometer la viabilidad del negocio a largo plazo.</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Cláusulas 4.1, 4.3, 5.1, 6.1.2 — ISO/IEC 27002:2022 · Controles 5.1, 5.2 — LFPDPPP (México) · Principios de Tratamiento de Datos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1 · Fundamentos de 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2026-05-03T08:21:01.163Z</dcterms:created>
  <dcterms:modified xsi:type="dcterms:W3CDTF">2026-05-03T08:21:01.177Z</dcterms:modified>
</cp:coreProperties>
</file>

<file path=docProps/custom.xml><?xml version="1.0" encoding="utf-8"?>
<Properties xmlns="http://schemas.openxmlformats.org/officeDocument/2006/custom-properties" xmlns:vt="http://schemas.openxmlformats.org/officeDocument/2006/docPropsVTypes"/>
</file>