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2 — CULTURA ORGANIZACIONAL Y ESTRUCTURA DEL SGSI</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2.1 Niveles Organizacionales y Responsabilidades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5.3 (Roles, responsabilidades y autoridades organizacionales) </w:t>
            </w:r>
            <w:r>
              <w:rPr>
                <w:rFonts w:ascii="Palatino Linotype" w:cs="Palatino Linotype" w:eastAsia="Palatino Linotype" w:hAnsi="Palatino Linotype"/>
                <w:i/>
                <w:iCs/>
                <w:color w:val="2C2C2C"/>
                <w:sz w:val="18"/>
                <w:szCs w:val="18"/>
              </w:rPr>
              <w:t xml:space="preserve">La alta dirección debe asegurarse de que las responsabilidades y autoridades para los roles pertinentes a la seguridad de la información se asignen y comuniquen dentro de la organización.</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gobernanza efectiva del SGSI requiere una estructura organizacional claramente definida que evite conflictos de interés, asegure la rendición de cuentas y distribuya las responsabilidades de seguridad en los tres niveles jerárquicos de NovaTech Solutions. Con 120 empleados distribuidos en tres departamentos —Desarrollo de Software, Atención a Clientes y Administración—, la estructura de gobernanza debe ser proporcional al tamaño de la organización sin sacrificar rigor técnico ni alineación estratégica.</w:t>
      </w:r>
    </w:p>
    <w:p>
      <w:pPr>
        <w:spacing w:after="120" w:before="280"/>
      </w:pPr>
      <w:r>
        <w:rPr>
          <w:rFonts w:ascii="Georgia" w:cs="Georgia" w:eastAsia="Georgia" w:hAnsi="Georgia"/>
          <w:b/>
          <w:bCs/>
          <w:color w:val="C17F24"/>
          <w:sz w:val="24"/>
          <w:szCs w:val="24"/>
        </w:rPr>
        <w:t xml:space="preserve">▸ a) Nivel Estratégico: Comité de Seguridad de la Información</w:t>
      </w:r>
    </w:p>
    <w:p>
      <w:pPr>
        <w:spacing w:after="100" w:before="80"/>
        <w:jc w:val="both"/>
      </w:pPr>
      <w:r>
        <w:rPr>
          <w:rFonts w:ascii="Palatino Linotype" w:cs="Palatino Linotype" w:eastAsia="Palatino Linotype" w:hAnsi="Palatino Linotype"/>
          <w:color w:val="2C2C2C"/>
          <w:sz w:val="21"/>
          <w:szCs w:val="21"/>
        </w:rPr>
        <w:t xml:space="preserve">El Comité de Seguridad de la Información es el órgano de máxima autoridad en materia de seguridad dentro de NovaTech. Está conformado por la Dirección General y los líderes de los tres departamentos principales. Este comité es responsable de aprobar políticas y procedimientos del SGSI, asignar el presupuesto de seguridad, evaluar los riesgos residuales aceptables para el negocio y revisar el desempeño del sistema en sesiones periódicas, conforme a la Cláusula 9.3 de ISO 27001:2022.</w:t>
      </w:r>
    </w:p>
    <w:p>
      <w:pPr>
        <w:spacing w:after="120" w:before="280"/>
      </w:pPr>
      <w:r>
        <w:rPr>
          <w:rFonts w:ascii="Georgia" w:cs="Georgia" w:eastAsia="Georgia" w:hAnsi="Georgia"/>
          <w:b/>
          <w:bCs/>
          <w:color w:val="C17F24"/>
          <w:sz w:val="24"/>
          <w:szCs w:val="24"/>
        </w:rPr>
        <w:t xml:space="preserve">▸ b) Nivel Táctico: Responsable de Seguridad de la Información (CISO)</w:t>
      </w:r>
    </w:p>
    <w:p>
      <w:pPr>
        <w:spacing w:after="100" w:before="80"/>
        <w:jc w:val="both"/>
      </w:pPr>
      <w:r>
        <w:rPr>
          <w:rFonts w:ascii="Palatino Linotype" w:cs="Palatino Linotype" w:eastAsia="Palatino Linotype" w:hAnsi="Palatino Linotype"/>
          <w:color w:val="2C2C2C"/>
          <w:sz w:val="21"/>
          <w:szCs w:val="21"/>
        </w:rPr>
        <w:t xml:space="preserve">El Responsable de Seguridad de la Información es la figura central en el diseño, implementación y monitoreo operativo del SGSI. Traduce los objetivos estratégicos del Comité en controles técnicos y administrativos concretos, supervisa las auditorías internas y actúa como enlace entre la alta dirección y los equipos operativos. Su autoridad se propone que esté formalmente reconocida mediante un acto de nombramiento documentado, y su independencia funcional respecto a los departamentos que audita es un requisito de objetividad.</w:t>
      </w:r>
    </w:p>
    <w:p>
      <w:pPr>
        <w:spacing w:after="120" w:before="280"/>
      </w:pPr>
      <w:r>
        <w:rPr>
          <w:rFonts w:ascii="Georgia" w:cs="Georgia" w:eastAsia="Georgia" w:hAnsi="Georgia"/>
          <w:b/>
          <w:bCs/>
          <w:color w:val="C17F24"/>
          <w:sz w:val="24"/>
          <w:szCs w:val="24"/>
        </w:rPr>
        <w:t xml:space="preserve">▸ c) Nivel Operativo: Propietarios y Custodios de Activos</w:t>
      </w:r>
    </w:p>
    <w:p>
      <w:pPr>
        <w:spacing w:after="100" w:before="80"/>
        <w:jc w:val="both"/>
      </w:pPr>
      <w:r>
        <w:rPr>
          <w:rFonts w:ascii="Palatino Linotype" w:cs="Palatino Linotype" w:eastAsia="Palatino Linotype" w:hAnsi="Palatino Linotype"/>
          <w:color w:val="2C2C2C"/>
          <w:sz w:val="21"/>
          <w:szCs w:val="21"/>
        </w:rPr>
        <w:t xml:space="preserve">Los propietarios de activos son los líderes de cada departamento responsables de clasificar la información que generan y autorizar los niveles de acceso correspondientes. Los custodios de activos —típicamente el equipo de TI— son responsables de implementar técnicamente los controles definidos por el propietario, sin tener necesariamente autoridad para modificarlos. Esta separación entre quien decide el control y quien lo implementa es un principio fundamental de segregación de funciones que NovaTech debe institucionalizar.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rPr>
          <w:tblHeader/>
        </w:trPr>
        <w:tc>
          <w:tcPr>
            <w:tcW w:type="dxa" w:w="25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Rol</w:t>
            </w:r>
          </w:p>
        </w:tc>
        <w:tc>
          <w:tcPr>
            <w:tcW w:type="dxa" w:w="20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Nivel</w:t>
            </w:r>
          </w:p>
        </w:tc>
        <w:tc>
          <w:tcPr>
            <w:tcW w:type="dxa" w:w="30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Responsabilidades Principales</w:t>
            </w:r>
          </w:p>
        </w:tc>
        <w:tc>
          <w:tcPr>
            <w:tcW w:type="dxa" w:w="18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Reporta 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Comité de Seguridad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Estratégico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Aprobación de políticas, asignación presupuestal, evaluación de riesgos residuales, revisión por la dirección</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Dirección General</w:t>
            </w:r>
          </w:p>
        </w:tc>
      </w:tr>
      <w:tr>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Resp. Seguridad</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Táctico</w:t>
            </w:r>
          </w:p>
        </w:tc>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Diseño, implementación y monitoreo del SGSI; auditorías internas; coordinación del CSIRT</w:t>
            </w:r>
          </w:p>
        </w:tc>
        <w:tc>
          <w:tcPr>
            <w:tcW w:type="dxa" w:w="18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Comité de Seguridad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Propietarios de Activos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Operativo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Clasificación de información, autorización de accesos, aprobación de controles, revisión de inventario</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w:t>
            </w:r>
          </w:p>
        </w:tc>
      </w:tr>
      <w:tr>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Custodios de Activos (TI)</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Operativo</w:t>
            </w:r>
          </w:p>
        </w:tc>
        <w:tc>
          <w:tcPr>
            <w:tcW w:type="dxa" w:w="3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Implementación técnica de controles, mantenimiento de infraestructura segura, gestión de backups</w:t>
            </w:r>
          </w:p>
        </w:tc>
        <w:tc>
          <w:tcPr>
            <w:tcW w:type="dxa" w:w="18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Propietarios de Activos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Usuarios / Todos los empleados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Operativo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Cumplimiento de políticas, reporte oportuno de incidentes, participación en capacitaciones obligatorias</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Líderes de área</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2.2 Cadena de Autoridad y Flujo de Responsabilidad</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5.3 / ISO 27002:2022 — Control 5.2 (Roles y responsabilidades en seguridad de la información) </w:t>
            </w:r>
            <w:r>
              <w:rPr>
                <w:rFonts w:ascii="Palatino Linotype" w:cs="Palatino Linotype" w:eastAsia="Palatino Linotype" w:hAnsi="Palatino Linotype"/>
                <w:i/>
                <w:iCs/>
                <w:color w:val="2C2C2C"/>
                <w:sz w:val="18"/>
                <w:szCs w:val="18"/>
              </w:rPr>
              <w:t xml:space="preserve">Las responsabilidades para la protección de activos individuales y para llevar a cabo procesos específicos de seguridad de la información deben identificarse y definirse claramente.</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cadena de autoridad del SGSI define cómo fluyen las decisiones de seguridad desde el nivel estratégico hasta el operativo, y cómo la información de riesgo e incidentes fluye en sentido inverso —desde la operación hacia la dirección— para alimentar el proceso de toma de decisiones. Esta doble vía es esencial para que el SGSI funcione como sistema y no como conjunto de documentos estáticos.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30"/>
        <w:gridCol w:w="3130"/>
        <w:gridCol w:w="2200"/>
      </w:tblGrid>
      <w:tr>
        <w:trPr>
          <w:tblHeader/>
        </w:trPr>
        <w:tc>
          <w:tcPr>
            <w:tcW w:type="dxa" w:w="9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Nivel</w:t>
            </w:r>
          </w:p>
        </w:tc>
        <w:tc>
          <w:tcPr>
            <w:tcW w:type="dxa" w:w="313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Flujo descendente (Decisiones)</w:t>
            </w:r>
          </w:p>
        </w:tc>
        <w:tc>
          <w:tcPr>
            <w:tcW w:type="dxa" w:w="313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Flujo ascendente (Información)</w:t>
            </w:r>
          </w:p>
        </w:tc>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Frecuencia de interacción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Estratégico</w:t>
            </w:r>
          </w:p>
        </w:tc>
        <w:tc>
          <w:tcPr>
            <w:tcW w:type="dxa" w:w="3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Aprobación de políticas → CISO · Asignación presupuestal → CISO · Tolerancia al riesgo → CISO</w:t>
            </w:r>
          </w:p>
        </w:tc>
        <w:tc>
          <w:tcPr>
            <w:tcW w:type="dxa" w:w="3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Recibe: resultados de auditorías, KPIs de seguridad, incidentes P1/P2, propuestas de mejora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Semestral (revisión formal) + extraordinaria ante P1</w:t>
            </w:r>
          </w:p>
        </w:tc>
      </w:tr>
      <w:tr>
        <w:tc>
          <w:tcPr>
            <w:tcW w:type="dxa" w:w="9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Táctico</w:t>
            </w:r>
          </w:p>
        </w:tc>
        <w:tc>
          <w:tcPr>
            <w:tcW w:type="dxa" w:w="313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Implementación de controles → Custodios · Planes de capacitación → Líderes de área · Procedimientos de incidentes → CSIRT</w:t>
            </w:r>
          </w:p>
        </w:tc>
        <w:tc>
          <w:tcPr>
            <w:tcW w:type="dxa" w:w="313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Reporta: estado del SGSI, métricas, no conformidades, evaluaciones de riesgo actualizadas</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Continua + reporte trimestral al Comité</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Operativo</w:t>
            </w:r>
          </w:p>
        </w:tc>
        <w:tc>
          <w:tcPr>
            <w:tcW w:type="dxa" w:w="3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Cumplimiento de políticas · Reporte de eventos de seguridad · Participación en capacitaciones</w:t>
            </w:r>
          </w:p>
        </w:tc>
        <w:tc>
          <w:tcPr>
            <w:tcW w:type="dxa" w:w="3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Reporta: incidentes observados, vulnerabilidades detectadas, solicitudes de acceso, excepciones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Inmediata ante incidentes; continua en operación</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Un principio crítico de esta estructura es que ningún empleado debe gestionar incidentes de seguridad de forma aislada. Todo evento sospechoso, independientemente de su magnitud percibida, debería fluir hacia arriba en la cadena hasta el CISO, quien determina el nivel de respuesta apropiado. Esta regla habría evitado que el acceso no autorizado al repositorio de NovaTech quedara sin clasificación formal de incidente.</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2.3 Equipo de Respuesta a Incidentes (CSIRT)</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5.24 (Planificación y preparación para la gestión de incidentes) </w:t>
            </w:r>
            <w:r>
              <w:rPr>
                <w:rFonts w:ascii="Palatino Linotype" w:cs="Palatino Linotype" w:eastAsia="Palatino Linotype" w:hAnsi="Palatino Linotype"/>
                <w:i/>
                <w:iCs/>
                <w:color w:val="2C2C2C"/>
                <w:sz w:val="18"/>
                <w:szCs w:val="18"/>
              </w:rPr>
              <w:t xml:space="preserve">Se recomienda que la organización planificar y prepararse para gestionar los incidentes de seguridad de la información estableciendo roles y responsabilidades claramente definidos para el equipo de respuesta.</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CSIRT (Computer Security Incident Response Team) de NovaTech es un equipo multidisciplinario con autoridad formal para aislar sistemas comprometidos, tomar decisiones críticas durante una crisis —incluyendo la desconexión de servidores— y coordinar la comunicación interna y externa. Su naturaleza multidisciplinaria es esencial: los incidentes de seguridad tienen implicaciones técnicas, legales, de recursos humanos y de relaciones públicas que no pueden ser gestionadas exclusivamente por el área de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Rol en el CSIRT</w:t>
            </w:r>
          </w:p>
        </w:tc>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Perfil Organizacional</w:t>
            </w:r>
          </w:p>
        </w:tc>
        <w:tc>
          <w:tcPr>
            <w:tcW w:type="dxa" w:w="46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Responsabilidades Específicas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Coordinador del CSIRT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Liderazgo del proceso de respuesta, decisiones de escalamiento, comunicación con Dirección, declaración de cierre del incidente</w:t>
            </w:r>
          </w:p>
        </w:tc>
      </w:tr>
      <w:tr>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Especialista Técnico</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Equipo de TI (Desarrollo)</w:t>
            </w:r>
          </w:p>
        </w:tc>
        <w:tc>
          <w:tcPr>
            <w:tcW w:type="dxa" w:w="46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Análisis forense, implementación de la contención técnica, restauración de sistemas, preservación de evidencia digital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Asesor Legal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Área Legal / externo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Evaluación de obligaciones de notificación ante INAI, asesoría sobre la LFPDPPP, gestión de evidencias para posibles acciones legales</w:t>
            </w:r>
          </w:p>
        </w:tc>
      </w:tr>
      <w:tr>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Representante de RRHH</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Gerencia de Administración</w:t>
            </w:r>
          </w:p>
        </w:tc>
        <w:tc>
          <w:tcPr>
            <w:tcW w:type="dxa" w:w="46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Gestión de aspectos laborales cuando el incidente involucra conductas de empleados, aplicación del Reglamento Interno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Comunicación / RP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Gerencia de Atención a Clientes</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Coordinación de comunicación con clientes afectados, manejo de reputación, redacción de comunicados oficiales</w:t>
            </w:r>
          </w:p>
        </w:tc>
      </w:tr>
    </w:tbl>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Cláusulas 5.3, 9.3 — ISO/IEC 27002:2022 · Controles 5.2, 5.24 — LFPDPPP (México) · Obligaciones del Responsable del Tratamiento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2 · Cultura y Estructura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2026-05-03T08:21:01.399Z</dcterms:created>
  <dcterms:modified xsi:type="dcterms:W3CDTF">2026-05-03T08:21:01.399Z</dcterms:modified>
</cp:coreProperties>
</file>

<file path=docProps/custom.xml><?xml version="1.0" encoding="utf-8"?>
<Properties xmlns="http://schemas.openxmlformats.org/officeDocument/2006/custom-properties" xmlns:vt="http://schemas.openxmlformats.org/officeDocument/2006/docPropsVTypes"/>
</file>