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Palatino Linotype" w:cs="Palatino Linotype" w:eastAsia="Palatino Linotype" w:hAnsi="Palatino Linotype"/>
          <w:color w:val="2C2C2C"/>
          <w:sz w:val="21"/>
          <w:szCs w:val="21"/>
        </w:rPr>
        <w:t xml:space="preserve">SISTEMA DE GESTIÓN DE SEGURIDAD DE LA INFORMACIÓN</w:t>
      </w:r>
    </w:p>
    <w:p>
      <w:pPr>
        <w:pBdr>
          <w:bottom w:val="single" w:color="1B3A2D" w:sz="16" w:space="6"/>
        </w:pBdr>
        <w:spacing w:after="60"/>
      </w:pPr>
      <w:r>
        <w:rPr>
          <w:rFonts w:ascii="Georgia" w:cs="Georgia" w:eastAsia="Georgia" w:hAnsi="Georgia"/>
          <w:b/>
          <w:bCs/>
          <w:color w:val="1B3A2D"/>
          <w:sz w:val="32"/>
          <w:szCs w:val="32"/>
        </w:rPr>
        <w:t xml:space="preserve">FASE 3 — GESTIÓN DE ACTIVOS DE INFORMACIÓN</w:t>
      </w:r>
    </w:p>
    <w:p>
      <w:pPr>
        <w:spacing w:after="60" w:before="80"/>
      </w:pPr>
      <w:r>
        <w:rPr>
          <w:rFonts w:ascii="Georgia" w:cs="Georgia" w:eastAsia="Georgia" w:hAnsi="Georgia"/>
          <w:i/>
          <w:iCs/>
          <w:color w:val="C17F24"/>
          <w:sz w:val="19"/>
          <w:szCs w:val="19"/>
        </w:rPr>
        <w:t xml:space="preserve">NovaTech Solutions · Monterrey, México · 2025</w:t>
      </w:r>
    </w:p>
    <w:p>
      <w:pPr>
        <w:spacing w:after="200" w:before="0"/>
      </w:pPr>
      <w:r>
        <w:rPr>
          <w:rFonts w:ascii="Palatino Linotype" w:cs="Palatino Linotype" w:eastAsia="Palatino Linotype" w:hAnsi="Palatino Linotype"/>
          <w:i/>
          <w:iCs/>
          <w:color w:val="999999"/>
          <w:sz w:val="17"/>
          <w:szCs w:val="17"/>
        </w:rPr>
        <w:t xml:space="preserve">Propuesta técnica elaborada por el equipo consultor de seguridad — Sujeta a revisión y aprobación ejecutiva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17F24" w:val="clear"/>
            <w:tcMar>
              <w:top w:type="dxa" w:w="0"/>
              <w:left w:type="dxa" w:w="0"/>
              <w:bottom w:type="dxa" w:w="0"/>
              <w:right w:type="dxa" w:w="0"/>
            </w:tcMar>
          </w:tcPr>
          <w:p/>
        </w:tc>
        <w:tc>
          <w:tcPr>
            <w:tcW w:type="dxa" w:w="9160"/>
            <w:tcBorders>
              <w:top w:val="none" w:color="FFFFFF" w:sz="0"/>
              <w:left w:val="none" w:color="FFFFFF" w:sz="0"/>
              <w:bottom w:val="none" w:color="FFFFFF" w:sz="0"/>
              <w:right w:val="none" w:color="FFFFFF" w:sz="0"/>
            </w:tcBorders>
            <w:shd w:fill="FFF8EC" w:val="clear"/>
            <w:tcMar>
              <w:top w:type="dxa" w:w="100"/>
              <w:left w:type="dxa" w:w="160"/>
              <w:bottom w:type="dxa" w:w="100"/>
              <w:right w:type="dxa" w:w="160"/>
            </w:tcMar>
          </w:tcPr>
          <w:p>
            <w:r>
              <w:rPr>
                <w:rFonts w:ascii="Courier New" w:cs="Courier New" w:eastAsia="Courier New" w:hAnsi="Courier New"/>
                <w:b/>
                <w:bCs/>
                <w:color w:val="8B5E1A"/>
                <w:sz w:val="17"/>
                <w:szCs w:val="17"/>
              </w:rPr>
              <w:t xml:space="preserve">⚠ PROPUESTA SUJETA A APROBACIÓN EJECUTIVA  </w:t>
            </w:r>
            <w:r>
              <w:rPr>
                <w:rFonts w:ascii="Palatino Linotype" w:cs="Palatino Linotype" w:eastAsia="Palatino Linotype" w:hAnsi="Palatino Linotype"/>
                <w:i/>
                <w:iCs/>
                <w:color w:val="5A3E0A"/>
                <w:sz w:val="17"/>
                <w:szCs w:val="17"/>
              </w:rPr>
              <w:t xml:space="preserve">El contenido de esta fase constituye una recomendación técnica elaborada por el equipo consultor de seguridad. Los análisis, estructuras, roles, controles y documentos aquí propuestos están sujetos a revisión, ajuste y aprobación formal por parte de la Dirección General y el Comité de Seguridad de NovaTech Solutions antes de cualquier implementación.</w:t>
            </w:r>
          </w:p>
        </w:tc>
      </w:tr>
    </w:tbl>
    <w:p>
      <w:pPr>
        <w:spacing w:after="40" w:before="40"/>
      </w:pP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3.1 Metodología y Criterios de Clasificación</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27002:2022 — Control 5.9 (Inventario de activos de información) </w:t>
            </w:r>
            <w:r>
              <w:rPr>
                <w:rFonts w:ascii="Palatino Linotype" w:cs="Palatino Linotype" w:eastAsia="Palatino Linotype" w:hAnsi="Palatino Linotype"/>
                <w:i/>
                <w:iCs/>
                <w:color w:val="2C2C2C"/>
                <w:sz w:val="18"/>
                <w:szCs w:val="18"/>
              </w:rPr>
              <w:t xml:space="preserve">Se debe identificar un inventario de activos asociados con la información y las instalaciones de procesamiento de información, y elaborarlo y mantenerlo actualizado. El inventario debe incluir el propietario de cada activo.</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La base de cualquier sistema de seguridad eficaz es el conocimiento preciso de aquello que se debe proteger. NovaTech Solutions no contaba con un inventario formal de activos de información al inicio de este proyecto, lo que impedía evaluar riesgos con rigor, asignar responsabilidades claras o priorizar la inversión en controles. La Fase 3 remedia esta brecha fundamental.</w:t>
      </w:r>
    </w:p>
    <w:p>
      <w:pPr>
        <w:spacing w:after="100" w:before="80"/>
        <w:jc w:val="both"/>
      </w:pPr>
      <w:r>
        <w:rPr>
          <w:rFonts w:ascii="Palatino Linotype" w:cs="Palatino Linotype" w:eastAsia="Palatino Linotype" w:hAnsi="Palatino Linotype"/>
          <w:color w:val="2C2C2C"/>
          <w:sz w:val="21"/>
          <w:szCs w:val="21"/>
        </w:rPr>
        <w:t xml:space="preserve">Cada activo de información debe registrarse en una matriz de valoración que incluya los campos obligatorios establecidos por ISO 27002:2022 y adaptados al contexto organizacional de NovaTech. El nivel de criticidad se determinará con base en el impacto potencial que la pérdida de confidencialidad, integridad o disponibilidad del activo tendría sobre las operaciones del negocio, expresado en una escala de 1 (bajo) a 5 (crítico).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400"/>
        <w:gridCol w:w="1400"/>
        <w:gridCol w:w="1300"/>
        <w:gridCol w:w="2200"/>
        <w:gridCol w:w="1500"/>
      </w:tblGrid>
      <w:tr>
        <w:trPr>
          <w:tblHeader/>
        </w:trPr>
        <w:tc>
          <w:tcPr>
            <w:tcW w:type="dxa" w:w="156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Activo</w:t>
            </w:r>
          </w:p>
        </w:tc>
        <w:tc>
          <w:tcPr>
            <w:tcW w:type="dxa" w:w="14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Propietario</w:t>
            </w:r>
          </w:p>
        </w:tc>
        <w:tc>
          <w:tcPr>
            <w:tcW w:type="dxa" w:w="14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Tipo</w:t>
            </w:r>
          </w:p>
        </w:tc>
        <w:tc>
          <w:tcPr>
            <w:tcW w:type="dxa" w:w="13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Criticidad</w:t>
            </w:r>
          </w:p>
        </w:tc>
        <w:tc>
          <w:tcPr>
            <w:tcW w:type="dxa" w:w="22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Proceso de Negocio</w:t>
            </w:r>
          </w:p>
        </w:tc>
        <w:tc>
          <w:tcPr>
            <w:tcW w:type="dxa" w:w="15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Ubicación</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Código fuente de plataformas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Gerencia de Desarrollo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Propiedad intelectual / Confidencial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5/5 — Crítica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Desarrollo y mantenimiento de aplicaciones web y SaaS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Repositorios Git / Servidores CI</w:t>
            </w:r>
          </w:p>
        </w:tc>
      </w:tr>
      <w:tr>
        <w:tc>
          <w:tcPr>
            <w:tcW w:type="dxa" w:w="15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Base de datos de clientes (CRM)</w:t>
            </w:r>
          </w:p>
        </w:tc>
        <w:tc>
          <w:tcPr>
            <w:tcW w:type="dxa" w:w="14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Gerencia de Atención a Clientes</w:t>
            </w:r>
          </w:p>
        </w:tc>
        <w:tc>
          <w:tcPr>
            <w:tcW w:type="dxa" w:w="14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Datos personales / Operativo</w:t>
            </w:r>
          </w:p>
        </w:tc>
        <w:tc>
          <w:tcPr>
            <w:tcW w:type="dxa" w:w="13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4/5 — Alta</w:t>
            </w:r>
          </w:p>
        </w:tc>
        <w:tc>
          <w:tcPr>
            <w:tcW w:type="dxa" w:w="2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Soporte técnico y gestión de solicitudes de clientes</w:t>
            </w:r>
          </w:p>
        </w:tc>
        <w:tc>
          <w:tcPr>
            <w:tcW w:type="dxa" w:w="15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Servidor en la nube</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Información financiera y contratos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Gerencia de Administración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Financiero / Legal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4/5 — Alta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Facturación, pagos y gestión contractual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Almacenamiento en la nube / Local</w:t>
            </w:r>
          </w:p>
        </w:tc>
      </w:tr>
      <w:tr>
        <w:tc>
          <w:tcPr>
            <w:tcW w:type="dxa" w:w="15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Datos personales de empleados</w:t>
            </w:r>
          </w:p>
        </w:tc>
        <w:tc>
          <w:tcPr>
            <w:tcW w:type="dxa" w:w="14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Gerencia de RRHH (Administración)</w:t>
            </w:r>
          </w:p>
        </w:tc>
        <w:tc>
          <w:tcPr>
            <w:tcW w:type="dxa" w:w="14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Datos personales / Confidencial</w:t>
            </w:r>
          </w:p>
        </w:tc>
        <w:tc>
          <w:tcPr>
            <w:tcW w:type="dxa" w:w="13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4/5 — Alta</w:t>
            </w:r>
          </w:p>
        </w:tc>
        <w:tc>
          <w:tcPr>
            <w:tcW w:type="dxa" w:w="2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Gestión de recursos humanos y nómina</w:t>
            </w:r>
          </w:p>
        </w:tc>
        <w:tc>
          <w:tcPr>
            <w:tcW w:type="dxa" w:w="15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Sistema de RRHH / Almacenamiento local</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Credenciales de acceso a sistemas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CISO / Custodio TI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Credenciales / Crítico</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5/5 — Crítica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Acceso a todos los sistemas y plataformas de la organización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Gestores de contraseñas / Directorio activo</w:t>
            </w:r>
          </w:p>
        </w:tc>
      </w:tr>
      <w:tr>
        <w:tc>
          <w:tcPr>
            <w:tcW w:type="dxa" w:w="15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Infraestructura en la nube</w:t>
            </w:r>
          </w:p>
        </w:tc>
        <w:tc>
          <w:tcPr>
            <w:tcW w:type="dxa" w:w="14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Custodio TI (Desarrollo)</w:t>
            </w:r>
          </w:p>
        </w:tc>
        <w:tc>
          <w:tcPr>
            <w:tcW w:type="dxa" w:w="14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Infraestructura / Crítico</w:t>
            </w:r>
          </w:p>
        </w:tc>
        <w:tc>
          <w:tcPr>
            <w:tcW w:type="dxa" w:w="13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5/5 — Crítica</w:t>
            </w:r>
          </w:p>
        </w:tc>
        <w:tc>
          <w:tcPr>
            <w:tcW w:type="dxa" w:w="2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Operación de todas las plataformas y servicios</w:t>
            </w:r>
          </w:p>
        </w:tc>
        <w:tc>
          <w:tcPr>
            <w:tcW w:type="dxa" w:w="15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Proveedor cloud (AWS/Azure/GCP)</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Servidores de integración continua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Gerencia de Desarrollo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Infraestructura / Confidencial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4/5 — Alta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Compilación, pruebas y despliegue de aplicaciones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Entorno de desarrollo / Nube</w:t>
            </w:r>
          </w:p>
        </w:tc>
      </w:tr>
      <w:tr>
        <w:tc>
          <w:tcPr>
            <w:tcW w:type="dxa" w:w="15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Correo corporativo e histórico</w:t>
            </w:r>
          </w:p>
        </w:tc>
        <w:tc>
          <w:tcPr>
            <w:tcW w:type="dxa" w:w="14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Custodio TI / Cada empleado</w:t>
            </w:r>
          </w:p>
        </w:tc>
        <w:tc>
          <w:tcPr>
            <w:tcW w:type="dxa" w:w="14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Comunicaciones / Confidencial</w:t>
            </w:r>
          </w:p>
        </w:tc>
        <w:tc>
          <w:tcPr>
            <w:tcW w:type="dxa" w:w="13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3/5 — Media</w:t>
            </w:r>
          </w:p>
        </w:tc>
        <w:tc>
          <w:tcPr>
            <w:tcW w:type="dxa" w:w="2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Comunicación interna y externa con clientes y proveedores</w:t>
            </w:r>
          </w:p>
        </w:tc>
        <w:tc>
          <w:tcPr>
            <w:tcW w:type="dxa" w:w="15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Proveedor de correo corporativo</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Documentación interna del SGSI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CISO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Documental / Confidencial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4/5 — Alta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Gestión y cumplimiento del sistema de seguridad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Repositorio documental interno</w:t>
            </w:r>
          </w:p>
        </w:tc>
      </w:tr>
    </w:tbl>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3.2 Criterios de Valoración y Clasificación</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27002:2022 — Control 5.12 (Clasificación de la información) </w:t>
            </w:r>
            <w:r>
              <w:rPr>
                <w:rFonts w:ascii="Palatino Linotype" w:cs="Palatino Linotype" w:eastAsia="Palatino Linotype" w:hAnsi="Palatino Linotype"/>
                <w:i/>
                <w:iCs/>
                <w:color w:val="2C2C2C"/>
                <w:sz w:val="18"/>
                <w:szCs w:val="18"/>
              </w:rPr>
              <w:t xml:space="preserve">La información debe clasificarse de acuerdo con las necesidades de seguridad de la información de la organización, basándose en la confidencialidad, integridad y disponibilidad, así como los requisitos legales pertinentes.</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NovaTech Solutions adoptará un esquema de clasificación de cuatro niveles para estandarizar el manejo de la información en todos los departamentos. Este esquema es coherente con las obligaciones de la LFPDPPP para el manejo de datos personales y con los controles definidos en la Fase 6 del presente SGSI.</w:t>
      </w:r>
    </w:p>
    <w:p>
      <w:pPr>
        <w:pStyle w:val="ListParagraph"/>
        <w:numPr>
          <w:ilvl w:val="0"/>
          <w:numId w:val="2"/>
        </w:numPr>
        <w:spacing w:after="60" w:before="40"/>
      </w:pPr>
      <w:r>
        <w:rPr>
          <w:rFonts w:ascii="Palatino Linotype" w:cs="Palatino Linotype" w:eastAsia="Palatino Linotype" w:hAnsi="Palatino Linotype"/>
          <w:color w:val="2C2C2C"/>
          <w:sz w:val="21"/>
          <w:szCs w:val="21"/>
        </w:rPr>
        <w:t xml:space="preserve">Público: Información que puede ser divulgada sin restricciones. Ejemplos: materiales de marketing aprobados, información en el sitio web corporativo.</w:t>
      </w:r>
    </w:p>
    <w:p>
      <w:pPr>
        <w:pStyle w:val="ListParagraph"/>
        <w:numPr>
          <w:ilvl w:val="0"/>
          <w:numId w:val="2"/>
        </w:numPr>
        <w:spacing w:after="60" w:before="40"/>
      </w:pPr>
      <w:r>
        <w:rPr>
          <w:rFonts w:ascii="Palatino Linotype" w:cs="Palatino Linotype" w:eastAsia="Palatino Linotype" w:hAnsi="Palatino Linotype"/>
          <w:color w:val="2C2C2C"/>
          <w:sz w:val="21"/>
          <w:szCs w:val="21"/>
        </w:rPr>
        <w:t xml:space="preserve">Interno: Información de uso interno general. Ejemplos: procedimientos operativos, comunicados internos, manuales de usuario.</w:t>
      </w:r>
    </w:p>
    <w:p>
      <w:pPr>
        <w:pStyle w:val="ListParagraph"/>
        <w:numPr>
          <w:ilvl w:val="0"/>
          <w:numId w:val="2"/>
        </w:numPr>
        <w:spacing w:after="60" w:before="40"/>
      </w:pPr>
      <w:r>
        <w:rPr>
          <w:rFonts w:ascii="Palatino Linotype" w:cs="Palatino Linotype" w:eastAsia="Palatino Linotype" w:hAnsi="Palatino Linotype"/>
          <w:color w:val="2C2C2C"/>
          <w:sz w:val="21"/>
          <w:szCs w:val="21"/>
        </w:rPr>
        <w:t xml:space="preserve">Confidencial: Información que requiere protección activa. Ejemplos: datos personales de clientes, información financiera, código fuente, contratos.</w:t>
      </w:r>
    </w:p>
    <w:p>
      <w:pPr>
        <w:pStyle w:val="ListParagraph"/>
        <w:numPr>
          <w:ilvl w:val="0"/>
          <w:numId w:val="2"/>
        </w:numPr>
        <w:spacing w:after="60" w:before="40"/>
      </w:pPr>
      <w:r>
        <w:rPr>
          <w:rFonts w:ascii="Palatino Linotype" w:cs="Palatino Linotype" w:eastAsia="Palatino Linotype" w:hAnsi="Palatino Linotype"/>
          <w:color w:val="2C2C2C"/>
          <w:sz w:val="21"/>
          <w:szCs w:val="21"/>
        </w:rPr>
        <w:t xml:space="preserve">Crítico / Secreto: Información cuya divulgación podría comprometer gravemente el negocio o violar la ley. Ejemplos: credenciales maestras, datos biométricos, claves criptográficas.</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1B3A2D" w:val="clear"/>
            <w:tcMar>
              <w:top w:type="dxa" w:w="0"/>
              <w:left w:type="dxa" w:w="0"/>
              <w:bottom w:type="dxa" w:w="0"/>
              <w:right w:type="dxa" w:w="0"/>
            </w:tcMar>
          </w:tcPr>
          <w:p/>
        </w:tc>
        <w:tc>
          <w:tcPr>
            <w:tcW w:type="dxa" w:w="9160"/>
            <w:tcBorders>
              <w:top w:val="nil" w:color="FFFFFF" w:sz="0"/>
              <w:left w:val="nil" w:color="FFFFFF" w:sz="0"/>
              <w:bottom w:val="nil" w:color="FFFFFF" w:sz="0"/>
              <w:right w:val="nil" w:color="FFFFFF" w:sz="0"/>
            </w:tcBorders>
            <w:shd w:fill="E8EDE9" w:val="clear"/>
            <w:tcMar>
              <w:top w:type="dxa" w:w="80"/>
              <w:left w:type="dxa" w:w="160"/>
              <w:bottom w:type="dxa" w:w="80"/>
              <w:right w:type="dxa" w:w="160"/>
            </w:tcMar>
          </w:tcPr>
          <w:p>
            <w:r>
              <w:rPr>
                <w:rFonts w:ascii="Courier New" w:cs="Courier New" w:eastAsia="Courier New" w:hAnsi="Courier New"/>
                <w:b/>
                <w:bCs/>
                <w:color w:val="1B3A2D"/>
                <w:sz w:val="17"/>
                <w:szCs w:val="17"/>
              </w:rPr>
              <w:t xml:space="preserve">Referencia normativa consolidada — </w:t>
            </w:r>
            <w:r>
              <w:rPr>
                <w:rFonts w:ascii="Palatino Linotype" w:cs="Palatino Linotype" w:eastAsia="Palatino Linotype" w:hAnsi="Palatino Linotype"/>
                <w:i/>
                <w:iCs/>
                <w:color w:val="2C2C2C"/>
                <w:sz w:val="17"/>
                <w:szCs w:val="17"/>
              </w:rPr>
              <w:t xml:space="preserve">ISO/IEC 27001:2022 · Cláusula 8.1 — ISO/IEC 27002:2022 · Controles 5.9, 5.12, 5.13 — LFPDPPP (México) · Art. 14 (Medidas de Seguridad)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2D" w:sz="6" w:space="4"/>
      </w:pBdr>
      <w:tabs>
        <w:tab w:val="right" w:pos="9360"/>
      </w:tabs>
      <w:spacing w:before="80"/>
    </w:pPr>
    <w:r>
      <w:rPr>
        <w:rFonts w:ascii="Georgia" w:cs="Georgia" w:eastAsia="Georgia" w:hAnsi="Georgia"/>
        <w:color w:val="D6CDB8"/>
        <w:sz w:val="16"/>
        <w:szCs w:val="16"/>
      </w:rPr>
      <w:t xml:space="preserve">Confidencial — Uso Interno Restringido</w:t>
    </w:r>
    <w:r>
      <w:rPr>
        <w:sz w:val="16"/>
        <w:szCs w:val="16"/>
      </w:rPr>
      <w:t xml:space="preserv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17F24" w:sz="6" w:space="4"/>
      </w:pBdr>
      <w:tabs>
        <w:tab w:val="right" w:pos="9360"/>
      </w:tabs>
      <w:spacing w:after="80"/>
    </w:pPr>
    <w:r>
      <w:rPr>
        <w:rFonts w:ascii="Georgia" w:cs="Georgia" w:eastAsia="Georgia" w:hAnsi="Georgia"/>
        <w:b/>
        <w:bCs/>
        <w:color w:val="8B5E1A"/>
        <w:sz w:val="17"/>
        <w:szCs w:val="17"/>
      </w:rPr>
      <w:t xml:space="preserve">SGSI — NovaTech Solutions</w:t>
    </w:r>
    <w:r>
      <w:rPr>
        <w:rFonts w:ascii="Georgia" w:cs="Georgia" w:eastAsia="Georgia" w:hAnsi="Georgia"/>
        <w:color w:val="D6CDB8"/>
        <w:sz w:val="17"/>
        <w:szCs w:val="17"/>
      </w:rPr>
      <w:t xml:space="preserve">	Fase 3 · Gestión de Activos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40"/>
        <w:ind w:left="720" w:hanging="360"/>
      </w:pPr>
      <w:rPr>
        <w:rFonts w:ascii="Palatino Linotype" w:cs="Palatino Linotype" w:eastAsia="Palatino Linotype" w:hAnsi="Palatino Linotype"/>
        <w:color w:val="C17F24"/>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2026-05-03T08:21:01.495Z</dcterms:created>
  <dcterms:modified xsi:type="dcterms:W3CDTF">2026-05-03T08:21:01.495Z</dcterms:modified>
</cp:coreProperties>
</file>

<file path=docProps/custom.xml><?xml version="1.0" encoding="utf-8"?>
<Properties xmlns="http://schemas.openxmlformats.org/officeDocument/2006/custom-properties" xmlns:vt="http://schemas.openxmlformats.org/officeDocument/2006/docPropsVTypes"/>
</file>