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Palatino Linotype" w:cs="Palatino Linotype" w:eastAsia="Palatino Linotype" w:hAnsi="Palatino Linotype"/>
          <w:color w:val="2C2C2C"/>
          <w:sz w:val="21"/>
          <w:szCs w:val="21"/>
        </w:rPr>
        <w:t xml:space="preserve">SISTEMA DE GESTIÓN DE SEGURIDAD DE LA INFORMACIÓN</w:t>
      </w:r>
    </w:p>
    <w:p>
      <w:pPr>
        <w:pBdr>
          <w:bottom w:val="single" w:color="1B3A2D" w:sz="16" w:space="6"/>
        </w:pBdr>
        <w:spacing w:after="60"/>
      </w:pPr>
      <w:r>
        <w:rPr>
          <w:rFonts w:ascii="Georgia" w:cs="Georgia" w:eastAsia="Georgia" w:hAnsi="Georgia"/>
          <w:b/>
          <w:bCs/>
          <w:color w:val="1B3A2D"/>
          <w:sz w:val="32"/>
          <w:szCs w:val="32"/>
        </w:rPr>
        <w:t xml:space="preserve">FASE 4 — EVALUACIÓN DE RIESGOS — METODOLOGÍA OCTAVE ALLEGRO</w:t>
      </w:r>
    </w:p>
    <w:p>
      <w:pPr>
        <w:spacing w:after="60" w:before="80"/>
      </w:pPr>
      <w:r>
        <w:rPr>
          <w:rFonts w:ascii="Georgia" w:cs="Georgia" w:eastAsia="Georgia" w:hAnsi="Georgia"/>
          <w:i/>
          <w:iCs/>
          <w:color w:val="C17F24"/>
          <w:sz w:val="19"/>
          <w:szCs w:val="19"/>
        </w:rPr>
        <w:t xml:space="preserve">NovaTech Solutions · Monterrey, México · 2025</w:t>
      </w:r>
    </w:p>
    <w:p>
      <w:pPr>
        <w:spacing w:after="200" w:before="0"/>
      </w:pPr>
      <w:r>
        <w:rPr>
          <w:rFonts w:ascii="Palatino Linotype" w:cs="Palatino Linotype" w:eastAsia="Palatino Linotype" w:hAnsi="Palatino Linotype"/>
          <w:i/>
          <w:iCs/>
          <w:color w:val="999999"/>
          <w:sz w:val="17"/>
          <w:szCs w:val="17"/>
        </w:rPr>
        <w:t xml:space="preserve">Propuesta técnica elaborada por el equipo consultor de seguridad — Sujeta a revisión y aprobación ejecutiva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17F24" w:val="clear"/>
            <w:tcMar>
              <w:top w:type="dxa" w:w="0"/>
              <w:left w:type="dxa" w:w="0"/>
              <w:bottom w:type="dxa" w:w="0"/>
              <w:right w:type="dxa" w:w="0"/>
            </w:tcMar>
          </w:tcPr>
          <w:p/>
        </w:tc>
        <w:tc>
          <w:tcPr>
            <w:tcW w:type="dxa" w:w="9160"/>
            <w:tcBorders>
              <w:top w:val="none" w:color="FFFFFF" w:sz="0"/>
              <w:left w:val="none" w:color="FFFFFF" w:sz="0"/>
              <w:bottom w:val="none" w:color="FFFFFF" w:sz="0"/>
              <w:right w:val="none" w:color="FFFFFF" w:sz="0"/>
            </w:tcBorders>
            <w:shd w:fill="FFF8EC" w:val="clear"/>
            <w:tcMar>
              <w:top w:type="dxa" w:w="100"/>
              <w:left w:type="dxa" w:w="160"/>
              <w:bottom w:type="dxa" w:w="100"/>
              <w:right w:type="dxa" w:w="160"/>
            </w:tcMar>
          </w:tcPr>
          <w:p>
            <w:r>
              <w:rPr>
                <w:rFonts w:ascii="Courier New" w:cs="Courier New" w:eastAsia="Courier New" w:hAnsi="Courier New"/>
                <w:b/>
                <w:bCs/>
                <w:color w:val="8B5E1A"/>
                <w:sz w:val="17"/>
                <w:szCs w:val="17"/>
              </w:rPr>
              <w:t xml:space="preserve">⚠ PROPUESTA SUJETA A APROBACIÓN EJECUTIVA  </w:t>
            </w:r>
            <w:r>
              <w:rPr>
                <w:rFonts w:ascii="Palatino Linotype" w:cs="Palatino Linotype" w:eastAsia="Palatino Linotype" w:hAnsi="Palatino Linotype"/>
                <w:i/>
                <w:iCs/>
                <w:color w:val="5A3E0A"/>
                <w:sz w:val="17"/>
                <w:szCs w:val="17"/>
              </w:rPr>
              <w:t xml:space="preserve">El contenido de esta fase constituye una recomendación técnica elaborada por el equipo consultor de seguridad. Los análisis, estructuras, roles, controles y documentos aquí propuestos están sujetos a revisión, ajuste y aprobación formal por parte de la Dirección General y el Comité de Seguridad de NovaTech Solutions antes de cualquier implementación.</w:t>
            </w:r>
          </w:p>
        </w:tc>
      </w:tr>
    </w:tbl>
    <w:p>
      <w:pPr>
        <w:spacing w:after="40" w:before="40"/>
      </w:pPr>
    </w:p>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4.1 Fundamentos y Estructura de OCTAVE Allegro</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27001:2022 — Cláusula 6.1.2 (Evaluación de riesgos de seguridad de la información) </w:t>
            </w:r>
            <w:r>
              <w:rPr>
                <w:rFonts w:ascii="Palatino Linotype" w:cs="Palatino Linotype" w:eastAsia="Palatino Linotype" w:hAnsi="Palatino Linotype"/>
                <w:i/>
                <w:iCs/>
                <w:color w:val="2C2C2C"/>
                <w:sz w:val="18"/>
                <w:szCs w:val="18"/>
              </w:rPr>
              <w:t xml:space="preserve">Se recomienda que la organización definir y aplicar un proceso de evaluación de riesgos que identifique, analice y evalúe los riesgos de seguridad de la información, asignando propietarios a cada riesgo identificado.</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OCTAVE Allegro (Operationally Critical Threat, Asset, and Vulnerability Evaluation) es una metodología de gestión de riesgos centrada en los activos de información y en los contenedores donde estos residen. Fue desarrollada por el CERT/CC del Software Engineering Institute de Carnegie Mellon University y está especialmente diseñada para organizaciones que requieren resultados concretos sin la complejidad de un proceso exhaustivo que demande recursos excesivos. Para NovaTech Solutions —con 120 empleados y tres departamentos diferenciados— esta metodología ofrece una relación costo-beneficio óptima.</w:t>
      </w:r>
    </w:p>
    <w:p>
      <w:pPr>
        <w:spacing w:after="100" w:before="80"/>
        <w:jc w:val="both"/>
      </w:pPr>
      <w:r>
        <w:rPr>
          <w:rFonts w:ascii="Palatino Linotype" w:cs="Palatino Linotype" w:eastAsia="Palatino Linotype" w:hAnsi="Palatino Linotype"/>
          <w:color w:val="2C2C2C"/>
          <w:sz w:val="21"/>
          <w:szCs w:val="21"/>
        </w:rPr>
        <w:t xml:space="preserve">OCTAVE Allegro se estructura en 4 etapas y 8 pasos secuenciales, organizados alrededor de hojas de trabajo (worksheets) estandarizadas que garantizan consistencia y trazabilidad en el análisis. A diferencia de enfoques basados en activos tecnológicos, OCTAVE Allegro parte de los activos de información críticos para el negocio —independientemente del soporte en que residan— y evalúa los riesgos en función de su impacto sobre las áreas de preocupación de la organización.</w:t>
      </w:r>
    </w:p>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4.2 Diferencia entre Análisis y Evaluación de Riesgos</w:t>
      </w:r>
    </w:p>
    <w:p>
      <w:pPr>
        <w:spacing w:after="40" w:before="40"/>
      </w:pPr>
    </w:p>
    <w:p>
      <w:pPr>
        <w:spacing w:after="100" w:before="80"/>
        <w:jc w:val="both"/>
      </w:pPr>
      <w:r>
        <w:rPr>
          <w:rFonts w:ascii="Palatino Linotype" w:cs="Palatino Linotype" w:eastAsia="Palatino Linotype" w:hAnsi="Palatino Linotype"/>
          <w:color w:val="2C2C2C"/>
          <w:sz w:val="21"/>
          <w:szCs w:val="21"/>
        </w:rPr>
        <w:t xml:space="preserve">Una distinción conceptual fundamental para el correcto funcionamiento del SGSI es la diferencia entre el análisis de riesgos y la evaluación de riesgos:</w:t>
      </w:r>
    </w:p>
    <w:p>
      <w:pPr>
        <w:spacing w:after="120" w:before="280"/>
      </w:pPr>
      <w:r>
        <w:rPr>
          <w:rFonts w:ascii="Georgia" w:cs="Georgia" w:eastAsia="Georgia" w:hAnsi="Georgia"/>
          <w:b/>
          <w:bCs/>
          <w:color w:val="C17F24"/>
          <w:sz w:val="24"/>
          <w:szCs w:val="24"/>
        </w:rPr>
        <w:t xml:space="preserve">▸ Análisis de Riesgos</w:t>
      </w:r>
    </w:p>
    <w:p>
      <w:pPr>
        <w:spacing w:after="100" w:before="80"/>
        <w:jc w:val="both"/>
      </w:pPr>
      <w:r>
        <w:rPr>
          <w:rFonts w:ascii="Palatino Linotype" w:cs="Palatino Linotype" w:eastAsia="Palatino Linotype" w:hAnsi="Palatino Linotype"/>
          <w:color w:val="2C2C2C"/>
          <w:sz w:val="21"/>
          <w:szCs w:val="21"/>
        </w:rPr>
        <w:t xml:space="preserve">Proceso técnico y sistemático mediante el cual se identifican los activos de información, las amenazas que los acechan y las vulnerabilidades que dichas amenazas podrían explotar. Su resultado es cuantitativo y cualitativo: estima la probabilidad de materialización de cada escenario de riesgo y calcula el impacto potencial sobre las operaciones del negocio. Es una actividad técnica liderada por el CISO con participación de los propietarios de activos.</w:t>
      </w:r>
    </w:p>
    <w:p>
      <w:pPr>
        <w:spacing w:after="120" w:before="280"/>
      </w:pPr>
      <w:r>
        <w:rPr>
          <w:rFonts w:ascii="Georgia" w:cs="Georgia" w:eastAsia="Georgia" w:hAnsi="Georgia"/>
          <w:b/>
          <w:bCs/>
          <w:color w:val="C17F24"/>
          <w:sz w:val="24"/>
          <w:szCs w:val="24"/>
        </w:rPr>
        <w:t xml:space="preserve">▸ Evaluación de Riesgos</w:t>
      </w:r>
    </w:p>
    <w:p>
      <w:pPr>
        <w:spacing w:after="100" w:before="80"/>
        <w:jc w:val="both"/>
      </w:pPr>
      <w:r>
        <w:rPr>
          <w:rFonts w:ascii="Palatino Linotype" w:cs="Palatino Linotype" w:eastAsia="Palatino Linotype" w:hAnsi="Palatino Linotype"/>
          <w:color w:val="2C2C2C"/>
          <w:sz w:val="21"/>
          <w:szCs w:val="21"/>
        </w:rPr>
        <w:t xml:space="preserve">Proceso de negocio donde la dirección —representada por el Comité de Seguridad— compara los resultados del análisis contra el apetito de riesgo de la organización para decidir si cada riesgo identificado debe ser mitigado, transferido (por ejemplo, mediante seguros de ciberseguridad), aceptado formalmente o evitado mediante la eliminación de la actividad que lo genera. Esta es una decisión de negocio, no una decisión técnica.</w:t>
      </w:r>
    </w:p>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4.3 Los 8 Pasos de OCTAVE Allegro Aplicados a NovaTech</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27001:2022 — Cláusula 6.1.3 (Tratamiento de riesgos de seguridad de la información) </w:t>
            </w:r>
            <w:r>
              <w:rPr>
                <w:rFonts w:ascii="Palatino Linotype" w:cs="Palatino Linotype" w:eastAsia="Palatino Linotype" w:hAnsi="Palatino Linotype"/>
                <w:i/>
                <w:iCs/>
                <w:color w:val="2C2C2C"/>
                <w:sz w:val="18"/>
                <w:szCs w:val="18"/>
              </w:rPr>
              <w:t xml:space="preserve">Se recomienda que la organización definir y aplicar un proceso de tratamiento de riesgos seleccionando opciones adecuadas, determinando los controles necesarios y produciendo la Propuesta de Declaración de Aplicabilidad (SoA).</w:t>
            </w:r>
          </w:p>
        </w:tc>
      </w:tr>
    </w:tbl>
    <w:p>
      <w:pPr>
        <w:spacing w:after="40" w:before="40"/>
      </w:pPr>
    </w:p>
    <w:p>
      <w:pPr>
        <w:spacing w:after="120" w:before="280"/>
      </w:pPr>
      <w:r>
        <w:rPr>
          <w:rFonts w:ascii="Georgia" w:cs="Georgia" w:eastAsia="Georgia" w:hAnsi="Georgia"/>
          <w:b/>
          <w:bCs/>
          <w:color w:val="C17F24"/>
          <w:sz w:val="24"/>
          <w:szCs w:val="24"/>
        </w:rPr>
        <w:t xml:space="preserve">▸ ETAPA 1 — Establecimiento de Criterios de Medición</w:t>
      </w:r>
    </w:p>
    <w:p>
      <w:pPr>
        <w:spacing w:after="80" w:before="200"/>
      </w:pPr>
      <w:r>
        <w:rPr>
          <w:rFonts w:ascii="Georgia" w:cs="Georgia" w:eastAsia="Georgia" w:hAnsi="Georgia"/>
          <w:b/>
          <w:bCs/>
          <w:color w:val="1B3A2D"/>
          <w:sz w:val="21"/>
          <w:szCs w:val="21"/>
        </w:rPr>
        <w:t xml:space="preserve">Paso 1: Establecer criterios cualitativos de medición de riesgo</w:t>
      </w:r>
    </w:p>
    <w:p>
      <w:pPr>
        <w:spacing w:after="100" w:before="80"/>
        <w:jc w:val="both"/>
      </w:pPr>
      <w:r>
        <w:rPr>
          <w:rFonts w:ascii="Palatino Linotype" w:cs="Palatino Linotype" w:eastAsia="Palatino Linotype" w:hAnsi="Palatino Linotype"/>
          <w:color w:val="2C2C2C"/>
          <w:sz w:val="21"/>
          <w:szCs w:val="21"/>
        </w:rPr>
        <w:t xml:space="preserve">NovaTech definirá cinco áreas de impacto organizacional, cada una con criterios cualitativos para clasificar el daño potencial. Las áreas se ponderan según la relevancia estratégica para el negocio, siendo las de mayor peso para NovaTech: reputación y confianza del cliente (peso 5), seguida de cumplimiento legal (peso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2300"/>
        <w:gridCol w:w="2760"/>
      </w:tblGrid>
      <w:tr>
        <w:trPr>
          <w:tblHeader/>
        </w:trPr>
        <w:tc>
          <w:tcPr>
            <w:tcW w:type="dxa" w:w="30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Área de Impacto</w:t>
            </w:r>
          </w:p>
        </w:tc>
        <w:tc>
          <w:tcPr>
            <w:tcW w:type="dxa" w:w="13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Peso</w:t>
            </w:r>
          </w:p>
        </w:tc>
        <w:tc>
          <w:tcPr>
            <w:tcW w:type="dxa" w:w="23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Impacto Bajo</w:t>
            </w:r>
          </w:p>
        </w:tc>
        <w:tc>
          <w:tcPr>
            <w:tcW w:type="dxa" w:w="276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Impacto Alto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Reputación y confianza del cliente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5</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Quejas menores, sin pérdida de clientes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Pérdida masiva de clientes, cobertura negativa en medios</w:t>
            </w:r>
          </w:p>
        </w:tc>
      </w:tr>
      <w:tr>
        <w:tc>
          <w:tcPr>
            <w:tcW w:type="dxa" w:w="30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Cumplimiento legal (LFPDPPP / contratos)</w:t>
            </w:r>
          </w:p>
        </w:tc>
        <w:tc>
          <w:tcPr>
            <w:tcW w:type="dxa" w:w="13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4</w:t>
            </w:r>
          </w:p>
        </w:tc>
        <w:tc>
          <w:tcPr>
            <w:tcW w:type="dxa" w:w="23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Advertencia regulatoria subsanable</w:t>
            </w:r>
          </w:p>
        </w:tc>
        <w:tc>
          <w:tcPr>
            <w:tcW w:type="dxa" w:w="27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Sanción económica grave, litigio o suspensión de operaciones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Impacto financiero directo</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3</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Pérdida menor al 2% de ingresos mensuales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Pérdida superior al 10% de ingresos anuales</w:t>
            </w:r>
          </w:p>
        </w:tc>
      </w:tr>
      <w:tr>
        <w:tc>
          <w:tcPr>
            <w:tcW w:type="dxa" w:w="30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Productividad operativa</w:t>
            </w:r>
          </w:p>
        </w:tc>
        <w:tc>
          <w:tcPr>
            <w:tcW w:type="dxa" w:w="13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3</w:t>
            </w:r>
          </w:p>
        </w:tc>
        <w:tc>
          <w:tcPr>
            <w:tcW w:type="dxa" w:w="23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Interrupción &lt; 2 horas, un departamento</w:t>
            </w:r>
          </w:p>
        </w:tc>
        <w:tc>
          <w:tcPr>
            <w:tcW w:type="dxa" w:w="27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Interrupción &gt; 24 horas, operación completa paralizada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Seguridad y bienestar del personal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2</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Estrés laboral menor sin consecuencias graves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Daño a empleados, responsabilidad patronal, riesgo físico</w:t>
            </w:r>
          </w:p>
        </w:tc>
      </w:tr>
    </w:tbl>
    <w:p>
      <w:pPr>
        <w:spacing w:after="120" w:before="280"/>
      </w:pPr>
      <w:r>
        <w:rPr>
          <w:rFonts w:ascii="Georgia" w:cs="Georgia" w:eastAsia="Georgia" w:hAnsi="Georgia"/>
          <w:b/>
          <w:bCs/>
          <w:color w:val="C17F24"/>
          <w:sz w:val="24"/>
          <w:szCs w:val="24"/>
        </w:rPr>
        <w:t xml:space="preserve">▸ ETAPA 2 — Desarrollo de Perfiles de Activos de Información</w:t>
      </w:r>
    </w:p>
    <w:p>
      <w:pPr>
        <w:spacing w:after="80" w:before="200"/>
      </w:pPr>
      <w:r>
        <w:rPr>
          <w:rFonts w:ascii="Georgia" w:cs="Georgia" w:eastAsia="Georgia" w:hAnsi="Georgia"/>
          <w:b/>
          <w:bCs/>
          <w:color w:val="1B3A2D"/>
          <w:sz w:val="21"/>
          <w:szCs w:val="21"/>
        </w:rPr>
        <w:t xml:space="preserve">Paso 2: Identificar los activos de información críticos</w:t>
      </w:r>
    </w:p>
    <w:p>
      <w:pPr>
        <w:spacing w:after="100" w:before="80"/>
        <w:jc w:val="both"/>
      </w:pPr>
      <w:r>
        <w:rPr>
          <w:rFonts w:ascii="Palatino Linotype" w:cs="Palatino Linotype" w:eastAsia="Palatino Linotype" w:hAnsi="Palatino Linotype"/>
          <w:color w:val="2C2C2C"/>
          <w:sz w:val="21"/>
          <w:szCs w:val="21"/>
        </w:rPr>
        <w:t xml:space="preserve">Con base en el inventario desarrollado en la Fase 3, se identifican los activos de información de mayor criticidad para el negocio. Para OCTAVE Allegro, un activo de información es el conjunto de datos —independientemente de su soporte— cuya pérdida, alteración o indisponibilidad generaría el mayor impacto sobre las áreas de preocupación definidas en el Paso 1. Los tres activos prioritarios para NovaTech son: el código fuente de las plataformas, la base de datos de clientes (CRM), y las credenciales de acceso a sistemas críticos.</w:t>
      </w:r>
    </w:p>
    <w:p>
      <w:pPr>
        <w:spacing w:after="80" w:before="200"/>
      </w:pPr>
      <w:r>
        <w:rPr>
          <w:rFonts w:ascii="Georgia" w:cs="Georgia" w:eastAsia="Georgia" w:hAnsi="Georgia"/>
          <w:b/>
          <w:bCs/>
          <w:color w:val="1B3A2D"/>
          <w:sz w:val="21"/>
          <w:szCs w:val="21"/>
        </w:rPr>
        <w:t xml:space="preserve">Paso 3: Identificar los contenedores del activo</w:t>
      </w:r>
    </w:p>
    <w:p>
      <w:pPr>
        <w:spacing w:after="100" w:before="80"/>
        <w:jc w:val="both"/>
      </w:pPr>
      <w:r>
        <w:rPr>
          <w:rFonts w:ascii="Palatino Linotype" w:cs="Palatino Linotype" w:eastAsia="Palatino Linotype" w:hAnsi="Palatino Linotype"/>
          <w:color w:val="2C2C2C"/>
          <w:sz w:val="21"/>
          <w:szCs w:val="21"/>
        </w:rPr>
        <w:t xml:space="preserve">Cada activo de información puede residir en múltiples contenedores: técnicos (servidores, repositorios, bases de datos, correo), físicos (oficinas, equipos portátiles, medios removibles) y personas (empleados con acceso autorizado, proveedores). La identificación de todos los contenedores es crítica porque cada uno representa un vector de exposición diferente que requiere controles específicos.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300"/>
        <w:gridCol w:w="2360"/>
      </w:tblGrid>
      <w:tr>
        <w:trPr>
          <w:tblHeader/>
        </w:trPr>
        <w:tc>
          <w:tcPr>
            <w:tcW w:type="dxa" w:w="22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Activo de Información</w:t>
            </w:r>
          </w:p>
        </w:tc>
        <w:tc>
          <w:tcPr>
            <w:tcW w:type="dxa" w:w="25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Contenedores Técnicos</w:t>
            </w:r>
          </w:p>
        </w:tc>
        <w:tc>
          <w:tcPr>
            <w:tcW w:type="dxa" w:w="23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Contenedores Físicos</w:t>
            </w:r>
          </w:p>
        </w:tc>
        <w:tc>
          <w:tcPr>
            <w:tcW w:type="dxa" w:w="236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Personas con Acceso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Código fuente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Repositorios Git · Servidores CI/CD · Equipos de desarrollo</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Laptops de desarrolladores · Backups en storage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Equipo de Desarrollo (15 personas) · CISO · Devops</w:t>
            </w:r>
          </w:p>
        </w:tc>
      </w:tr>
      <w:tr>
        <w:tc>
          <w:tcPr>
            <w:tcW w:type="dxa" w:w="2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Base de datos de clientes</w:t>
            </w:r>
          </w:p>
        </w:tc>
        <w:tc>
          <w:tcPr>
            <w:tcW w:type="dxa" w:w="25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Servidor CRM en nube · Correo corporativo · Backups cloud</w:t>
            </w:r>
          </w:p>
        </w:tc>
        <w:tc>
          <w:tcPr>
            <w:tcW w:type="dxa" w:w="23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Equipos del área de soporte</w:t>
            </w:r>
          </w:p>
        </w:tc>
        <w:tc>
          <w:tcPr>
            <w:tcW w:type="dxa" w:w="23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Atención a Clientes (25 personas) · Admins TI · CISO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Credenciales de acceso</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Gestor de contraseñas · Directorio activo · Correo (recuperación)</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Documentos físicos impresos (prohibidos) · Equipos personales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CISO · Administradores de TI · Cada empleado (propias)</w:t>
            </w:r>
          </w:p>
        </w:tc>
      </w:tr>
    </w:tbl>
    <w:p>
      <w:pPr>
        <w:spacing w:after="120" w:before="280"/>
      </w:pPr>
      <w:r>
        <w:rPr>
          <w:rFonts w:ascii="Georgia" w:cs="Georgia" w:eastAsia="Georgia" w:hAnsi="Georgia"/>
          <w:b/>
          <w:bCs/>
          <w:color w:val="C17F24"/>
          <w:sz w:val="24"/>
          <w:szCs w:val="24"/>
        </w:rPr>
        <w:t xml:space="preserve">▸ ETAPA 3 — Identificación de Amenazas</w:t>
      </w:r>
    </w:p>
    <w:p>
      <w:pPr>
        <w:spacing w:after="80" w:before="200"/>
      </w:pPr>
      <w:r>
        <w:rPr>
          <w:rFonts w:ascii="Georgia" w:cs="Georgia" w:eastAsia="Georgia" w:hAnsi="Georgia"/>
          <w:b/>
          <w:bCs/>
          <w:color w:val="1B3A2D"/>
          <w:sz w:val="21"/>
          <w:szCs w:val="21"/>
        </w:rPr>
        <w:t xml:space="preserve">Paso 4: Identificar áreas de preocupación (amenazas relevantes por activo)</w:t>
      </w:r>
    </w:p>
    <w:p>
      <w:pPr>
        <w:spacing w:after="100" w:before="80"/>
        <w:jc w:val="both"/>
      </w:pPr>
      <w:r>
        <w:rPr>
          <w:rFonts w:ascii="Palatino Linotype" w:cs="Palatino Linotype" w:eastAsia="Palatino Linotype" w:hAnsi="Palatino Linotype"/>
          <w:color w:val="2C2C2C"/>
          <w:sz w:val="21"/>
          <w:szCs w:val="21"/>
        </w:rPr>
        <w:t xml:space="preserve">Para cada activo crítico, el equipo de análisis identifica las amenazas más probables y relevantes en el contexto de NovaTech, agrupadas por origen: humano interno (empleados), humano externo (atacantes, competidores), y problemas del sistema (fallas técnicas, desastres). Los tres incidentes reales documentados en la organización —el acceso al repositorio, la filtración por correo y la caída del CRM— son el punto de partida más valioso para este paso, ya que representan amenazas que ya se han materializado.</w:t>
      </w:r>
    </w:p>
    <w:p>
      <w:pPr>
        <w:spacing w:after="80" w:before="200"/>
      </w:pPr>
      <w:r>
        <w:rPr>
          <w:rFonts w:ascii="Georgia" w:cs="Georgia" w:eastAsia="Georgia" w:hAnsi="Georgia"/>
          <w:b/>
          <w:bCs/>
          <w:color w:val="1B3A2D"/>
          <w:sz w:val="21"/>
          <w:szCs w:val="21"/>
        </w:rPr>
        <w:t xml:space="preserve">Paso 5: Identificar escenarios de amenaza con contenedores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100"/>
        <w:gridCol w:w="1900"/>
        <w:gridCol w:w="1860"/>
      </w:tblGrid>
      <w:tr>
        <w:trPr>
          <w:tblHeader/>
        </w:trPr>
        <w:tc>
          <w:tcPr>
            <w:tcW w:type="dxa" w:w="18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Activo</w:t>
            </w:r>
          </w:p>
        </w:tc>
        <w:tc>
          <w:tcPr>
            <w:tcW w:type="dxa" w:w="17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Contenedor expuesto</w:t>
            </w:r>
          </w:p>
        </w:tc>
        <w:tc>
          <w:tcPr>
            <w:tcW w:type="dxa" w:w="21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Amenaza</w:t>
            </w:r>
          </w:p>
        </w:tc>
        <w:tc>
          <w:tcPr>
            <w:tcW w:type="dxa" w:w="19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Tipo de actor</w:t>
            </w:r>
          </w:p>
        </w:tc>
        <w:tc>
          <w:tcPr>
            <w:tcW w:type="dxa" w:w="186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Consecuencia en CIA</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Código fuente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Repositorios Git</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Acceso no autorizado por credencial comprometida</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Externo (oportunista)</w:t>
            </w:r>
          </w:p>
        </w:tc>
        <w:tc>
          <w:tcPr>
            <w:tcW w:type="dxa" w:w="1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Confidencialidad + Integridad</w:t>
            </w:r>
          </w:p>
        </w:tc>
      </w:tr>
      <w:tr>
        <w:tc>
          <w:tcPr>
            <w:tcW w:type="dxa" w:w="18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Base de datos clientes</w:t>
            </w:r>
          </w:p>
        </w:tc>
        <w:tc>
          <w:tcPr>
            <w:tcW w:type="dxa" w:w="17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Correo corporativo</w:t>
            </w:r>
          </w:p>
        </w:tc>
        <w:tc>
          <w:tcPr>
            <w:tcW w:type="dxa" w:w="21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Envío accidental a destinatario incorrecto</w:t>
            </w:r>
          </w:p>
        </w:tc>
        <w:tc>
          <w:tcPr>
            <w:tcW w:type="dxa" w:w="19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Interno (error humano)</w:t>
            </w:r>
          </w:p>
        </w:tc>
        <w:tc>
          <w:tcPr>
            <w:tcW w:type="dxa" w:w="18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Confidencialidad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Infraestructura cloud</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Servidor de producción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Mala configuración durante actualización</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Interno (error técnico)</w:t>
            </w:r>
          </w:p>
        </w:tc>
        <w:tc>
          <w:tcPr>
            <w:tcW w:type="dxa" w:w="1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Disponibilidad</w:t>
            </w:r>
          </w:p>
        </w:tc>
      </w:tr>
      <w:tr>
        <w:tc>
          <w:tcPr>
            <w:tcW w:type="dxa" w:w="18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Credenciales</w:t>
            </w:r>
          </w:p>
        </w:tc>
        <w:tc>
          <w:tcPr>
            <w:tcW w:type="dxa" w:w="17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Equipos compartidos</w:t>
            </w:r>
          </w:p>
        </w:tc>
        <w:tc>
          <w:tcPr>
            <w:tcW w:type="dxa" w:w="21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Phishing / sesión abierta no cerrada</w:t>
            </w:r>
          </w:p>
        </w:tc>
        <w:tc>
          <w:tcPr>
            <w:tcW w:type="dxa" w:w="19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Externo + Interno</w:t>
            </w:r>
          </w:p>
        </w:tc>
        <w:tc>
          <w:tcPr>
            <w:tcW w:type="dxa" w:w="18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Confidencialidad + todos los activos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Info financiera</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Sistema contabilidad</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Acceso indebido por privilegios excesivos</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Interno (intencional)</w:t>
            </w:r>
          </w:p>
        </w:tc>
        <w:tc>
          <w:tcPr>
            <w:tcW w:type="dxa" w:w="1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Confidencialidad + Integridad</w:t>
            </w:r>
          </w:p>
        </w:tc>
      </w:tr>
    </w:tbl>
    <w:p>
      <w:pPr>
        <w:spacing w:after="120" w:before="280"/>
      </w:pPr>
      <w:r>
        <w:rPr>
          <w:rFonts w:ascii="Georgia" w:cs="Georgia" w:eastAsia="Georgia" w:hAnsi="Georgia"/>
          <w:b/>
          <w:bCs/>
          <w:color w:val="C17F24"/>
          <w:sz w:val="24"/>
          <w:szCs w:val="24"/>
        </w:rPr>
        <w:t xml:space="preserve">▸ ETAPA 4 — Identificación y Mitigación de Riesgos</w:t>
      </w:r>
    </w:p>
    <w:p>
      <w:pPr>
        <w:spacing w:after="80" w:before="200"/>
      </w:pPr>
      <w:r>
        <w:rPr>
          <w:rFonts w:ascii="Georgia" w:cs="Georgia" w:eastAsia="Georgia" w:hAnsi="Georgia"/>
          <w:b/>
          <w:bCs/>
          <w:color w:val="1B3A2D"/>
          <w:sz w:val="21"/>
          <w:szCs w:val="21"/>
        </w:rPr>
        <w:t xml:space="preserve">Paso 6: Identificar riesgos</w:t>
      </w:r>
    </w:p>
    <w:p>
      <w:pPr>
        <w:spacing w:after="100" w:before="80"/>
        <w:jc w:val="both"/>
      </w:pPr>
      <w:r>
        <w:rPr>
          <w:rFonts w:ascii="Palatino Linotype" w:cs="Palatino Linotype" w:eastAsia="Palatino Linotype" w:hAnsi="Palatino Linotype"/>
          <w:color w:val="2C2C2C"/>
          <w:sz w:val="21"/>
          <w:szCs w:val="21"/>
        </w:rPr>
        <w:t xml:space="preserve">Para cada escenario de amenaza identificado, se determina el riesgo resultante combinando la amenaza con la vulnerabilidad explotada y el impacto sobre las áreas de preocupación de NovaTech. El riesgo no es la amenaza en sí misma: es la probabilidad de que la amenaza explote una vulnerabilidad existente y genere un daño medible sobre los activos de información.</w:t>
      </w:r>
    </w:p>
    <w:p>
      <w:pPr>
        <w:spacing w:after="80" w:before="200"/>
      </w:pPr>
      <w:r>
        <w:rPr>
          <w:rFonts w:ascii="Georgia" w:cs="Georgia" w:eastAsia="Georgia" w:hAnsi="Georgia"/>
          <w:b/>
          <w:bCs/>
          <w:color w:val="1B3A2D"/>
          <w:sz w:val="21"/>
          <w:szCs w:val="21"/>
        </w:rPr>
        <w:t xml:space="preserve">Paso 7: Analizar el riesgo (medición de impacto por área)</w:t>
      </w:r>
    </w:p>
    <w:p>
      <w:pPr>
        <w:spacing w:after="100" w:before="80"/>
        <w:jc w:val="both"/>
      </w:pPr>
      <w:r>
        <w:rPr>
          <w:rFonts w:ascii="Palatino Linotype" w:cs="Palatino Linotype" w:eastAsia="Palatino Linotype" w:hAnsi="Palatino Linotype"/>
          <w:color w:val="2C2C2C"/>
          <w:sz w:val="21"/>
          <w:szCs w:val="21"/>
        </w:rPr>
        <w:t xml:space="preserve">Cada escenario de amenaza se evalúa contra las cinco áreas de impacto definidas en el Paso 1. La puntuación de riesgo se calcula multiplicando la probabilidad de ocurrencia (1-5) por el impacto ponderado (suma de puntuaciones por área × peso de cada área), generando una puntuación de riesgo inherente comparable entre activos.</w:t>
      </w:r>
    </w:p>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4.4 Matriz de Valoración de Riesgos</w:t>
      </w:r>
    </w:p>
    <w:p>
      <w:pPr>
        <w:spacing w:after="40" w:before="40"/>
      </w:pPr>
    </w:p>
    <w:p>
      <w:pPr>
        <w:spacing w:after="100" w:before="80"/>
        <w:jc w:val="both"/>
      </w:pPr>
      <w:r>
        <w:rPr>
          <w:rFonts w:ascii="Palatino Linotype" w:cs="Palatino Linotype" w:eastAsia="Palatino Linotype" w:hAnsi="Palatino Linotype"/>
          <w:color w:val="2C2C2C"/>
          <w:sz w:val="21"/>
          <w:szCs w:val="21"/>
        </w:rPr>
        <w:t xml:space="preserve">El apetito de riesgo de NovaTech, aprobado por el Comité de Seguridad, establece que cualquier riesgo con puntuación superior a 10 requiere tratamiento formal documentado. Los riesgos se clasifican en: Bajo (1-5), Moderado (6-10), Alto (11-19) y Crítico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200"/>
        <w:gridCol w:w="1560"/>
        <w:gridCol w:w="3900"/>
      </w:tblGrid>
      <w:tr>
        <w:trPr>
          <w:tblHeader/>
        </w:trPr>
        <w:tc>
          <w:tcPr>
            <w:tcW w:type="dxa" w:w="26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Escenario de Riesgo</w:t>
            </w:r>
          </w:p>
        </w:tc>
        <w:tc>
          <w:tcPr>
            <w:tcW w:type="dxa" w:w="11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Prob. (1-5)</w:t>
            </w:r>
          </w:p>
        </w:tc>
        <w:tc>
          <w:tcPr>
            <w:tcW w:type="dxa" w:w="12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Impacto (1-5)</w:t>
            </w:r>
          </w:p>
        </w:tc>
        <w:tc>
          <w:tcPr>
            <w:tcW w:type="dxa" w:w="156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Nivel de Riesgo</w:t>
            </w:r>
          </w:p>
        </w:tc>
        <w:tc>
          <w:tcPr>
            <w:tcW w:type="dxa" w:w="39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Tratamiento Propuesto</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Robo de credenciales por phishing</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5</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20 — Crítico</w:t>
            </w:r>
          </w:p>
        </w:tc>
        <w:tc>
          <w:tcPr>
            <w:tcW w:type="dxa" w:w="3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Mitigar: MFA obligatorio en todos los sistemas, capacitación anti-phishing, gestores de contraseñas corporativos</w:t>
            </w:r>
          </w:p>
        </w:tc>
      </w:tr>
      <w:tr>
        <w:tc>
          <w:tcPr>
            <w:tcW w:type="dxa" w:w="26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Fuga de datos de clientes por error humano</w:t>
            </w:r>
          </w:p>
        </w:tc>
        <w:tc>
          <w:tcPr>
            <w:tcW w:type="dxa" w:w="11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4</w:t>
            </w:r>
          </w:p>
        </w:tc>
        <w:tc>
          <w:tcPr>
            <w:tcW w:type="dxa" w:w="1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4</w:t>
            </w:r>
          </w:p>
        </w:tc>
        <w:tc>
          <w:tcPr>
            <w:tcW w:type="dxa" w:w="15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16 — Alto</w:t>
            </w:r>
          </w:p>
        </w:tc>
        <w:tc>
          <w:tcPr>
            <w:tcW w:type="dxa" w:w="39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Mitigar: DLP en correo corporativo, capacitación en Atención a Clientes, doble verificación de destinatarios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Filtración de código por sesión abierta</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5</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15 — Alto</w:t>
            </w:r>
          </w:p>
        </w:tc>
        <w:tc>
          <w:tcPr>
            <w:tcW w:type="dxa" w:w="3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Mitigar: MFA en repositorios, política de cierre de sesión, monitoreo SIEM con alertas por IP anómala</w:t>
            </w:r>
          </w:p>
        </w:tc>
      </w:tr>
      <w:tr>
        <w:tc>
          <w:tcPr>
            <w:tcW w:type="dxa" w:w="26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Inactividad del CRM por falla de infraestructura</w:t>
            </w:r>
          </w:p>
        </w:tc>
        <w:tc>
          <w:tcPr>
            <w:tcW w:type="dxa" w:w="11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3</w:t>
            </w:r>
          </w:p>
        </w:tc>
        <w:tc>
          <w:tcPr>
            <w:tcW w:type="dxa" w:w="1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4</w:t>
            </w:r>
          </w:p>
        </w:tc>
        <w:tc>
          <w:tcPr>
            <w:tcW w:type="dxa" w:w="15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12 — Alto</w:t>
            </w:r>
          </w:p>
        </w:tc>
        <w:tc>
          <w:tcPr>
            <w:tcW w:type="dxa" w:w="39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Mitigar: DRP, arquitectura de alta disponibilidad, gestión formal de cambios con entorno de pruebas previo</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Acceso indebido a información financiera</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4</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8 — Moderado</w:t>
            </w:r>
          </w:p>
        </w:tc>
        <w:tc>
          <w:tcPr>
            <w:tcW w:type="dxa" w:w="3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Mitigar: RBAC con segregación de funciones, revisión trimestral de accesos, auditoría de logs</w:t>
            </w:r>
          </w:p>
        </w:tc>
      </w:tr>
    </w:tbl>
    <w:p>
      <w:pPr>
        <w:spacing w:after="80" w:before="200"/>
      </w:pPr>
      <w:r>
        <w:rPr>
          <w:rFonts w:ascii="Georgia" w:cs="Georgia" w:eastAsia="Georgia" w:hAnsi="Georgia"/>
          <w:b/>
          <w:bCs/>
          <w:color w:val="1B3A2D"/>
          <w:sz w:val="21"/>
          <w:szCs w:val="21"/>
        </w:rPr>
        <w:t xml:space="preserve">Paso 8: Seleccionar el enfoque de mitigación</w:t>
      </w:r>
    </w:p>
    <w:p>
      <w:pPr>
        <w:spacing w:after="100" w:before="80"/>
        <w:jc w:val="both"/>
      </w:pPr>
      <w:r>
        <w:rPr>
          <w:rFonts w:ascii="Palatino Linotype" w:cs="Palatino Linotype" w:eastAsia="Palatino Linotype" w:hAnsi="Palatino Linotype"/>
          <w:color w:val="2C2C2C"/>
          <w:sz w:val="21"/>
          <w:szCs w:val="21"/>
        </w:rPr>
        <w:t xml:space="preserve">Con base en la matriz anterior, el Comité de Seguridad de NovaTech determina el enfoque de tratamiento para cada riesgo. Los dos riesgos clasificados como Crítico y los tres clasificados como Alto requieren tratamiento formal documentado con responsable asignado y fecha límite de implementación. El riesgo Moderado sobre acceso a información financiera se mitigará dentro del ciclo de implementación de controles RBAC en la Fase 6. Ningún riesgo por encima del umbral de 10 será aceptado sin un plan de tratamiento aprobado por el Comité.</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1B3A2D" w:val="clear"/>
            <w:tcMar>
              <w:top w:type="dxa" w:w="0"/>
              <w:left w:type="dxa" w:w="0"/>
              <w:bottom w:type="dxa" w:w="0"/>
              <w:right w:type="dxa" w:w="0"/>
            </w:tcMar>
          </w:tcPr>
          <w:p/>
        </w:tc>
        <w:tc>
          <w:tcPr>
            <w:tcW w:type="dxa" w:w="9160"/>
            <w:tcBorders>
              <w:top w:val="nil" w:color="FFFFFF" w:sz="0"/>
              <w:left w:val="nil" w:color="FFFFFF" w:sz="0"/>
              <w:bottom w:val="nil" w:color="FFFFFF" w:sz="0"/>
              <w:right w:val="nil" w:color="FFFFFF" w:sz="0"/>
            </w:tcBorders>
            <w:shd w:fill="E8EDE9" w:val="clear"/>
            <w:tcMar>
              <w:top w:type="dxa" w:w="80"/>
              <w:left w:type="dxa" w:w="160"/>
              <w:bottom w:type="dxa" w:w="80"/>
              <w:right w:type="dxa" w:w="160"/>
            </w:tcMar>
          </w:tcPr>
          <w:p>
            <w:r>
              <w:rPr>
                <w:rFonts w:ascii="Courier New" w:cs="Courier New" w:eastAsia="Courier New" w:hAnsi="Courier New"/>
                <w:b/>
                <w:bCs/>
                <w:color w:val="1B3A2D"/>
                <w:sz w:val="17"/>
                <w:szCs w:val="17"/>
              </w:rPr>
              <w:t xml:space="preserve">Referencia normativa consolidada — </w:t>
            </w:r>
            <w:r>
              <w:rPr>
                <w:rFonts w:ascii="Palatino Linotype" w:cs="Palatino Linotype" w:eastAsia="Palatino Linotype" w:hAnsi="Palatino Linotype"/>
                <w:i/>
                <w:iCs/>
                <w:color w:val="2C2C2C"/>
                <w:sz w:val="17"/>
                <w:szCs w:val="17"/>
              </w:rPr>
              <w:t xml:space="preserve">ISO/IEC 27001:2022 · Cláusulas 6.1.2, 6.1.3 — OCTAVE Allegro (SEI/Carnegie Mellon, Technical Report CMU/SEI-2007-TR-012) — ISO/IEC 27005:2022 (Gestión de Riesgos de Seguridad de la Información)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2D" w:sz="6" w:space="4"/>
      </w:pBdr>
      <w:tabs>
        <w:tab w:val="right" w:pos="9360"/>
      </w:tabs>
      <w:spacing w:before="80"/>
    </w:pPr>
    <w:r>
      <w:rPr>
        <w:rFonts w:ascii="Georgia" w:cs="Georgia" w:eastAsia="Georgia" w:hAnsi="Georgia"/>
        <w:color w:val="D6CDB8"/>
        <w:sz w:val="16"/>
        <w:szCs w:val="16"/>
      </w:rPr>
      <w:t xml:space="preserve">Confidencial — Uso Interno Restringido</w:t>
    </w:r>
    <w:r>
      <w:rPr>
        <w:sz w:val="16"/>
        <w:szCs w:val="16"/>
      </w:rPr>
      <w:t xml:space="preserv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17F24" w:sz="6" w:space="4"/>
      </w:pBdr>
      <w:tabs>
        <w:tab w:val="right" w:pos="9360"/>
      </w:tabs>
      <w:spacing w:after="80"/>
    </w:pPr>
    <w:r>
      <w:rPr>
        <w:rFonts w:ascii="Georgia" w:cs="Georgia" w:eastAsia="Georgia" w:hAnsi="Georgia"/>
        <w:b/>
        <w:bCs/>
        <w:color w:val="8B5E1A"/>
        <w:sz w:val="17"/>
        <w:szCs w:val="17"/>
      </w:rPr>
      <w:t xml:space="preserve">SGSI — NovaTech Solutions</w:t>
    </w:r>
    <w:r>
      <w:rPr>
        <w:rFonts w:ascii="Georgia" w:cs="Georgia" w:eastAsia="Georgia" w:hAnsi="Georgia"/>
        <w:color w:val="D6CDB8"/>
        <w:sz w:val="17"/>
        <w:szCs w:val="17"/>
      </w:rPr>
      <w:t xml:space="preserve">	Fase 4 · Evaluación de Riesgos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40"/>
        <w:ind w:left="720" w:hanging="360"/>
      </w:pPr>
      <w:rPr>
        <w:rFonts w:ascii="Palatino Linotype" w:cs="Palatino Linotype" w:eastAsia="Palatino Linotype" w:hAnsi="Palatino Linotype"/>
        <w:color w:val="C17F24"/>
        <w:sz w:val="21"/>
        <w:szCs w:val="21"/>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2026-05-03T08:21:01.591Z</dcterms:created>
  <dcterms:modified xsi:type="dcterms:W3CDTF">2026-05-03T08:21:01.592Z</dcterms:modified>
</cp:coreProperties>
</file>

<file path=docProps/custom.xml><?xml version="1.0" encoding="utf-8"?>
<Properties xmlns="http://schemas.openxmlformats.org/officeDocument/2006/custom-properties" xmlns:vt="http://schemas.openxmlformats.org/officeDocument/2006/docPropsVTypes"/>
</file>