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Palatino Linotype" w:cs="Palatino Linotype" w:eastAsia="Palatino Linotype" w:hAnsi="Palatino Linotype"/>
          <w:color w:val="2C2C2C"/>
          <w:sz w:val="21"/>
          <w:szCs w:val="21"/>
        </w:rPr>
        <w:t xml:space="preserve">SISTEMA DE GESTIÓN DE SEGURIDAD DE LA INFORMACIÓN</w:t>
      </w:r>
    </w:p>
    <w:p>
      <w:pPr>
        <w:pBdr>
          <w:bottom w:val="single" w:color="1B3A2D" w:sz="16" w:space="6"/>
        </w:pBdr>
        <w:spacing w:after="60"/>
      </w:pPr>
      <w:r>
        <w:rPr>
          <w:rFonts w:ascii="Georgia" w:cs="Georgia" w:eastAsia="Georgia" w:hAnsi="Georgia"/>
          <w:b/>
          <w:bCs/>
          <w:color w:val="1B3A2D"/>
          <w:sz w:val="32"/>
          <w:szCs w:val="32"/>
        </w:rPr>
        <w:t xml:space="preserve">FASE 6 — SELECCIÓN Y DISEÑO DE CONTROLES DE SEGURIDAD</w:t>
      </w:r>
    </w:p>
    <w:p>
      <w:pPr>
        <w:spacing w:after="60" w:before="80"/>
      </w:pPr>
      <w:r>
        <w:rPr>
          <w:rFonts w:ascii="Georgia" w:cs="Georgia" w:eastAsia="Georgia" w:hAnsi="Georgia"/>
          <w:i/>
          <w:iCs/>
          <w:color w:val="C17F24"/>
          <w:sz w:val="19"/>
          <w:szCs w:val="19"/>
        </w:rPr>
        <w:t xml:space="preserve">NovaTech Solutions · Monterrey, México · 2025</w:t>
      </w:r>
    </w:p>
    <w:p>
      <w:pPr>
        <w:spacing w:after="200" w:before="0"/>
      </w:pPr>
      <w:r>
        <w:rPr>
          <w:rFonts w:ascii="Palatino Linotype" w:cs="Palatino Linotype" w:eastAsia="Palatino Linotype" w:hAnsi="Palatino Linotype"/>
          <w:i/>
          <w:iCs/>
          <w:color w:val="999999"/>
          <w:sz w:val="17"/>
          <w:szCs w:val="17"/>
        </w:rPr>
        <w:t xml:space="preserve">Propuesta técnica elaborada por el equipo consultor de seguridad — Sujeta a revisión y aprobación ejecutiva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17F2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5E1A"/>
                <w:sz w:val="17"/>
                <w:szCs w:val="17"/>
              </w:rPr>
              <w:t xml:space="preserve">⚠ PROPUESTA SUJETA A APROBACIÓN EJECUTIVA 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5A3E0A"/>
                <w:sz w:val="17"/>
                <w:szCs w:val="17"/>
              </w:rPr>
              <w:t xml:space="preserve">El contenido de esta fase constituye una recomendación técnica elaborada por el equipo consultor de seguridad. Los análisis, estructuras, roles, controles y documentos aquí propuestos están sujetos a revisión, ajuste y aprobación formal por parte de la Dirección General y el Comité de Seguridad de NovaTech Solutions antes de cualquier implementación.</w:t>
            </w:r>
          </w:p>
        </w:tc>
      </w:tr>
    </w:tbl>
    <w:p>
      <w:pPr>
        <w:spacing w:after="40" w:before="40"/>
      </w:pPr>
    </w:p>
    <w:p>
      <w:pPr>
        <w:pBdr>
          <w:top w:val="none" w:color="FFFFFF" w:sz="0" w:space="0"/>
          <w:left w:val="single" w:color="1B3A2D" w:sz="24" w:space="0"/>
          <w:bottom w:val="single" w:color="C17F24" w:sz="12" w:space="6"/>
          <w:right w:val="none" w:color="FFFFFF" w:sz="0" w:space="0"/>
        </w:pBdr>
        <w:spacing w:after="240" w:before="480"/>
        <w:ind w:left="200"/>
      </w:pPr>
      <w:r>
        <w:rPr>
          <w:rFonts w:ascii="Georgia" w:cs="Georgia" w:eastAsia="Georgia" w:hAnsi="Georgia"/>
          <w:b/>
          <w:bCs/>
          <w:color w:val="1B3A2D"/>
          <w:sz w:val="34"/>
          <w:szCs w:val="34"/>
        </w:rPr>
        <w:t xml:space="preserve">6.1 Marco de Selección de Controles</w:t>
      </w:r>
    </w:p>
    <w:p>
      <w:pPr>
        <w:spacing w:after="40" w:before="40"/>
      </w:pP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17F24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9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D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5E1A"/>
                <w:sz w:val="18"/>
                <w:szCs w:val="18"/>
              </w:rPr>
              <w:t xml:space="preserve">ISO 27001:2022 — Cláusula 6.1.3 / ISO 27002:2022 — Introducción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2C2C2C"/>
                <w:sz w:val="18"/>
                <w:szCs w:val="18"/>
              </w:rPr>
              <w:t xml:space="preserve">Los controles seleccionados deben producir la Propuesta de Declaración de Aplicabilidad (SoA), un documento que incluye todos los controles necesarios y su justificación, indicando si han sido implementados o no, así como la justificación de las exclusiones.</w:t>
            </w:r>
          </w:p>
        </w:tc>
      </w:tr>
    </w:tbl>
    <w:p>
      <w:pPr>
        <w:spacing w:after="40" w:before="40"/>
      </w:pPr>
    </w:p>
    <w:p>
      <w:pPr>
        <w:spacing w:after="100" w:before="80"/>
        <w:jc w:val="both"/>
      </w:pPr>
      <w:r>
        <w:rPr>
          <w:rFonts w:ascii="Palatino Linotype" w:cs="Palatino Linotype" w:eastAsia="Palatino Linotype" w:hAnsi="Palatino Linotype"/>
          <w:color w:val="2C2C2C"/>
          <w:sz w:val="21"/>
          <w:szCs w:val="21"/>
        </w:rPr>
        <w:t xml:space="preserve">Los controles de seguridad son los mecanismos técnicos, administrativos y físicos que permiten hacer cumplir las políticas definidas en la Fase 5 y mitigar los riesgos identificados en la Fase 4. En NovaTech Solutions, la selección de controles parte de los riesgos concretos identificados mediante OCTAVE Allegro y se alinea con el Anexo A de ISO 27001:2022, que proporciona un catálogo de referencia de 93 controles organizados en cuatro categorías: organizacionales, personas, físicos y tecnológicos.</w:t>
      </w:r>
    </w:p>
    <w:p>
      <w:pPr>
        <w:pBdr>
          <w:top w:val="none" w:color="FFFFFF" w:sz="0" w:space="0"/>
          <w:left w:val="single" w:color="1B3A2D" w:sz="24" w:space="0"/>
          <w:bottom w:val="single" w:color="C17F24" w:sz="12" w:space="6"/>
          <w:right w:val="none" w:color="FFFFFF" w:sz="0" w:space="0"/>
        </w:pBdr>
        <w:spacing w:after="240" w:before="480"/>
        <w:ind w:left="200"/>
      </w:pPr>
      <w:r>
        <w:rPr>
          <w:rFonts w:ascii="Georgia" w:cs="Georgia" w:eastAsia="Georgia" w:hAnsi="Georgia"/>
          <w:b/>
          <w:bCs/>
          <w:color w:val="1B3A2D"/>
          <w:sz w:val="34"/>
          <w:szCs w:val="34"/>
        </w:rPr>
        <w:t xml:space="preserve">6.2 Propuesta de Declaración de Aplicabilidad (SoA) — Versión Inicial</w:t>
      </w:r>
    </w:p>
    <w:p>
      <w:pPr>
        <w:spacing w:after="40" w:before="40"/>
      </w:pP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17F24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9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D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5E1A"/>
                <w:sz w:val="18"/>
                <w:szCs w:val="18"/>
              </w:rPr>
              <w:t xml:space="preserve">ISO 27001:2022 — Cláusula 6.1.3d (Propuesta de Declaración de Aplicabilidad)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2C2C2C"/>
                <w:sz w:val="18"/>
                <w:szCs w:val="18"/>
              </w:rPr>
              <w:t xml:space="preserve">Se recomienda que la organización producir una Propuesta de Declaración de Aplicabilidad que contenga los controles necesarios (véase 6.1.3b y 6.1.3c), la justificación de las inclusiones (implementados o no), y la justificación de las exclusiones de controles del Anexo A.</w:t>
            </w:r>
          </w:p>
        </w:tc>
      </w:tr>
    </w:tbl>
    <w:p>
      <w:pPr>
        <w:spacing w:after="40" w:before="40"/>
      </w:pPr>
    </w:p>
    <w:p>
      <w:pPr>
        <w:spacing w:after="100" w:before="80"/>
        <w:jc w:val="both"/>
      </w:pPr>
      <w:r>
        <w:rPr>
          <w:rFonts w:ascii="Palatino Linotype" w:cs="Palatino Linotype" w:eastAsia="Palatino Linotype" w:hAnsi="Palatino Linotype"/>
          <w:color w:val="2C2C2C"/>
          <w:sz w:val="21"/>
          <w:szCs w:val="21"/>
        </w:rPr>
        <w:t xml:space="preserve">La Propuesta de Declaración de Aplicabilidad (Statement of Applicability, SoA) es un documento formal obligatorio bajo ISO 27001:2022. Para cada control del Anexo A, se recomienda que la organización declarar si aplica o no aplica, justificar la decisión y documentar si ya está implementado. A continuación se presenta la SoA inicial para los controles de mayor relevancia para NovaTech Solutions, basada en los riesgos identificados en la Fase 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000"/>
        <w:gridCol w:w="1300"/>
        <w:gridCol w:w="3160"/>
      </w:tblGrid>
      <w:tr>
        <w:trPr>
          <w:tblHeader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Ctrl.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Control ISO 27002:2022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Aplica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Justificación / Riesgo asociado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5.2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Roles y responsabilidades en seg. de la información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Sí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Por implementar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Ausencia de roles formales de seguridad en la organización (Fase 2)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5.9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Inventario de activos de información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Sí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Por implementar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No existe inventario formal; activos no gestionados (Fase 3)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5.12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Clasificación de la información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Sí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Por implementar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Información tratada sin distinción de sensibilidad; riesgo de fuga (Fases 3 y 7)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5.15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Control de acceso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Sí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Parcial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Privilegios excesivos documentados; ausencia de política RBAC formal (Fases 4 y 5)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5.24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Planificación y preparación para gestión de incidentes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Sí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Por implementar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Incidentes gestionados de forma improvisada; sin CSIRT formal (Fase 9)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5.31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Requisitos legales, estatutarios, reglamentarios y contractuales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Sí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Parcial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Obligaciones LFPDPPP identificadas pero sin controles formales (Fase 7)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6.3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Toma de conciencia, educación y formación en SI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Sí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Por implementar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Capacitación en seguridad limitada; incidentes por error humano (Fase 10)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8.2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Derechos de acceso privilegiado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Sí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Por implementar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Accesos administrativos sin control ni inventario; riesgo de abuso interno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8.5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Autenticación segura (MFA)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Sí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Por implementar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Riesgo Crítico 20/25: robo de credenciales por phishing y sesiones abiertas (Fase 4)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8.13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Resguardo de información (Backups)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Sí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Parcial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Backups existentes sin política formal ni pruebas de restauración documentadas (Fase 8)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8.15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Registro de actividad (Logging)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Sí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Por implementar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Sin monitoreo centralizado; acceso no autorizado al repositorio no detectado proactivamente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8.16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Actividades de monitoreo (SIEM)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Sí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Por implementar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Ausencia de herramienta de correlación de eventos; MTTD indefinido (Fase 11)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8.24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Uso de criptografía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Sí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Por implementar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Datos personales de clientes/empleados sin cifrado formal en reposo (Fase 7)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7.1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Perímetros de seguridad física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No aplica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N/A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18"/>
                <w:szCs w:val="18"/>
              </w:rPr>
              <w:t xml:space="preserve">NovaTech no opera data centers propios; infraestructura en cloud de tercero certificado</w:t>
            </w:r>
          </w:p>
        </w:tc>
      </w:tr>
    </w:tbl>
    <w:p>
      <w:pPr>
        <w:pBdr>
          <w:top w:val="none" w:color="FFFFFF" w:sz="0" w:space="0"/>
          <w:left w:val="single" w:color="1B3A2D" w:sz="24" w:space="0"/>
          <w:bottom w:val="single" w:color="C17F24" w:sz="12" w:space="6"/>
          <w:right w:val="none" w:color="FFFFFF" w:sz="0" w:space="0"/>
        </w:pBdr>
        <w:spacing w:after="240" w:before="480"/>
        <w:ind w:left="200"/>
      </w:pPr>
      <w:r>
        <w:rPr>
          <w:rFonts w:ascii="Georgia" w:cs="Georgia" w:eastAsia="Georgia" w:hAnsi="Georgia"/>
          <w:b/>
          <w:bCs/>
          <w:color w:val="1B3A2D"/>
          <w:sz w:val="34"/>
          <w:szCs w:val="34"/>
        </w:rPr>
        <w:t xml:space="preserve">6.3 Controles Preventivos</w:t>
      </w:r>
    </w:p>
    <w:p>
      <w:pPr>
        <w:spacing w:after="40" w:before="40"/>
      </w:pP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17F24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9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D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5E1A"/>
                <w:sz w:val="18"/>
                <w:szCs w:val="18"/>
              </w:rPr>
              <w:t xml:space="preserve">ISO 27002:2022 — Control 8.5 (Autenticación segura) / Control 8.24 (Uso de criptografía)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2C2C2C"/>
                <w:sz w:val="18"/>
                <w:szCs w:val="18"/>
              </w:rPr>
              <w:t xml:space="preserve">Se deben implementar mecanismos de autenticación segura y técnicas criptográficas para proteger la información en función de los riesgos identificados.</w:t>
            </w:r>
          </w:p>
        </w:tc>
      </w:tr>
    </w:tbl>
    <w:p>
      <w:pPr>
        <w:spacing w:after="40" w:before="40"/>
      </w:pPr>
    </w:p>
    <w:p>
      <w:pPr>
        <w:spacing w:after="100" w:before="80"/>
        <w:jc w:val="both"/>
      </w:pPr>
      <w:r>
        <w:rPr>
          <w:rFonts w:ascii="Palatino Linotype" w:cs="Palatino Linotype" w:eastAsia="Palatino Linotype" w:hAnsi="Palatino Linotype"/>
          <w:color w:val="2C2C2C"/>
          <w:sz w:val="21"/>
          <w:szCs w:val="21"/>
        </w:rPr>
        <w:t xml:space="preserve">Los controles preventivos tienen como objetivo evitar que un incidente de seguridad ocurra. Son la primera línea de defensa del SGSI y actúan antes de que la amenaza se materialice.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Palatino Linotype" w:cs="Palatino Linotype" w:eastAsia="Palatino Linotype" w:hAnsi="Palatino Linotype"/>
          <w:b/>
          <w:bCs/>
          <w:color w:val="2C2C2C"/>
          <w:sz w:val="21"/>
          <w:szCs w:val="21"/>
        </w:rPr>
        <w:t xml:space="preserve">Autenticación Multifactor (MFA): </w:t>
      </w:r>
      <w:r>
        <w:rPr>
          <w:rFonts w:ascii="Palatino Linotype" w:cs="Palatino Linotype" w:eastAsia="Palatino Linotype" w:hAnsi="Palatino Linotype"/>
          <w:color w:val="2C2C2C"/>
          <w:sz w:val="21"/>
          <w:szCs w:val="21"/>
        </w:rPr>
        <w:t xml:space="preserve">Obligatorio para el acceso a todos los repositorios Git, sistemas CRM, plataformas en la nube y herramientas de administración. La implementación de MFA habría impedido el acceso no autorizado al repositorio documentado en el caso de NovaTech.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Palatino Linotype" w:cs="Palatino Linotype" w:eastAsia="Palatino Linotype" w:hAnsi="Palatino Linotype"/>
          <w:b/>
          <w:bCs/>
          <w:color w:val="2C2C2C"/>
          <w:sz w:val="21"/>
          <w:szCs w:val="21"/>
        </w:rPr>
        <w:t xml:space="preserve">Cifrado de datos en reposo y en tránsito: </w:t>
      </w:r>
      <w:r>
        <w:rPr>
          <w:rFonts w:ascii="Palatino Linotype" w:cs="Palatino Linotype" w:eastAsia="Palatino Linotype" w:hAnsi="Palatino Linotype"/>
          <w:color w:val="2C2C2C"/>
          <w:sz w:val="21"/>
          <w:szCs w:val="21"/>
        </w:rPr>
        <w:t xml:space="preserve">Las bases de datos de clientes y empleados deben cifrarse mediante AES-256 en reposo. Toda transmisión de información sensible debe realizarse a través de canales cifrados con TLS 1.2 o superior.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Palatino Linotype" w:cs="Palatino Linotype" w:eastAsia="Palatino Linotype" w:hAnsi="Palatino Linotype"/>
          <w:b/>
          <w:bCs/>
          <w:color w:val="2C2C2C"/>
          <w:sz w:val="21"/>
          <w:szCs w:val="21"/>
        </w:rPr>
        <w:t xml:space="preserve">Control de acceso basado en roles (RBAC): </w:t>
      </w:r>
      <w:r>
        <w:rPr>
          <w:rFonts w:ascii="Palatino Linotype" w:cs="Palatino Linotype" w:eastAsia="Palatino Linotype" w:hAnsi="Palatino Linotype"/>
          <w:color w:val="2C2C2C"/>
          <w:sz w:val="21"/>
          <w:szCs w:val="21"/>
        </w:rPr>
        <w:t xml:space="preserve">Implementación técnica del modelo definido en la Política de Control de Accesos, garantizando que solo el personal autorizado pueda acceder a cada sistema o conjunto de datos.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Palatino Linotype" w:cs="Palatino Linotype" w:eastAsia="Palatino Linotype" w:hAnsi="Palatino Linotype"/>
          <w:b/>
          <w:bCs/>
          <w:color w:val="2C2C2C"/>
          <w:sz w:val="21"/>
          <w:szCs w:val="21"/>
        </w:rPr>
        <w:t xml:space="preserve">Gestión formal de cambios: </w:t>
      </w:r>
      <w:r>
        <w:rPr>
          <w:rFonts w:ascii="Palatino Linotype" w:cs="Palatino Linotype" w:eastAsia="Palatino Linotype" w:hAnsi="Palatino Linotype"/>
          <w:color w:val="2C2C2C"/>
          <w:sz w:val="21"/>
          <w:szCs w:val="21"/>
        </w:rPr>
        <w:t xml:space="preserve">Procedimiento que incluya pruebas en entorno de desarrollo antes de aplicar actualizaciones en producción, evitando incidentes como la caída del CRM por mala configuración.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Palatino Linotype" w:cs="Palatino Linotype" w:eastAsia="Palatino Linotype" w:hAnsi="Palatino Linotype"/>
          <w:b/>
          <w:bCs/>
          <w:color w:val="2C2C2C"/>
          <w:sz w:val="21"/>
          <w:szCs w:val="21"/>
        </w:rPr>
        <w:t xml:space="preserve">Segmentación de red: </w:t>
      </w:r>
      <w:r>
        <w:rPr>
          <w:rFonts w:ascii="Palatino Linotype" w:cs="Palatino Linotype" w:eastAsia="Palatino Linotype" w:hAnsi="Palatino Linotype"/>
          <w:color w:val="2C2C2C"/>
          <w:sz w:val="21"/>
          <w:szCs w:val="21"/>
        </w:rPr>
        <w:t xml:space="preserve">Separación lógica de los entornos de desarrollo, pruebas y producción para limitar el impacto de un compromiso en un entorno sobre los demás.</w:t>
      </w:r>
    </w:p>
    <w:p>
      <w:pPr>
        <w:pBdr>
          <w:top w:val="none" w:color="FFFFFF" w:sz="0" w:space="0"/>
          <w:left w:val="single" w:color="1B3A2D" w:sz="24" w:space="0"/>
          <w:bottom w:val="single" w:color="C17F24" w:sz="12" w:space="6"/>
          <w:right w:val="none" w:color="FFFFFF" w:sz="0" w:space="0"/>
        </w:pBdr>
        <w:spacing w:after="240" w:before="480"/>
        <w:ind w:left="200"/>
      </w:pPr>
      <w:r>
        <w:rPr>
          <w:rFonts w:ascii="Georgia" w:cs="Georgia" w:eastAsia="Georgia" w:hAnsi="Georgia"/>
          <w:b/>
          <w:bCs/>
          <w:color w:val="1B3A2D"/>
          <w:sz w:val="34"/>
          <w:szCs w:val="34"/>
        </w:rPr>
        <w:t xml:space="preserve">6.4 Controles Detectivos</w:t>
      </w:r>
    </w:p>
    <w:p>
      <w:pPr>
        <w:spacing w:after="40" w:before="40"/>
      </w:pP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17F24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9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D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5E1A"/>
                <w:sz w:val="18"/>
                <w:szCs w:val="18"/>
              </w:rPr>
              <w:t xml:space="preserve">ISO 27002:2022 — Control 8.15 (Registro de actividad) / Control 8.16 (Actividades de monitoreo)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2C2C2C"/>
                <w:sz w:val="18"/>
                <w:szCs w:val="18"/>
              </w:rPr>
              <w:t xml:space="preserve">Las redes, sistemas y aplicaciones deben ser monitoreados para detectar comportamientos anómalos y registrar eventos de seguridad que permitan la identificación temprana de incidentes.</w:t>
            </w:r>
          </w:p>
        </w:tc>
      </w:tr>
    </w:tbl>
    <w:p>
      <w:pPr>
        <w:spacing w:after="40" w:before="40"/>
      </w:pPr>
    </w:p>
    <w:p>
      <w:pPr>
        <w:spacing w:after="100" w:before="80"/>
        <w:jc w:val="both"/>
      </w:pPr>
      <w:r>
        <w:rPr>
          <w:rFonts w:ascii="Palatino Linotype" w:cs="Palatino Linotype" w:eastAsia="Palatino Linotype" w:hAnsi="Palatino Linotype"/>
          <w:color w:val="2C2C2C"/>
          <w:sz w:val="21"/>
          <w:szCs w:val="21"/>
        </w:rPr>
        <w:t xml:space="preserve">Los controles detectivos identifican un incidente en progreso o ya ocurrido. Su función es reducir el tiempo de detección (MTTD), limitando el daño potencial de una brecha de seguridad.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Palatino Linotype" w:cs="Palatino Linotype" w:eastAsia="Palatino Linotype" w:hAnsi="Palatino Linotype"/>
          <w:b/>
          <w:bCs/>
          <w:color w:val="2C2C2C"/>
          <w:sz w:val="21"/>
          <w:szCs w:val="21"/>
        </w:rPr>
        <w:t xml:space="preserve">SIEM (Security Information and Event Management): </w:t>
      </w:r>
      <w:r>
        <w:rPr>
          <w:rFonts w:ascii="Palatino Linotype" w:cs="Palatino Linotype" w:eastAsia="Palatino Linotype" w:hAnsi="Palatino Linotype"/>
          <w:color w:val="2C2C2C"/>
          <w:sz w:val="21"/>
          <w:szCs w:val="21"/>
        </w:rPr>
        <w:t xml:space="preserve">Plataforma centralizada de monitoreo que correlaciona eventos de seguridad de todos los sistemas y emite alertas automáticas ante patrones anómalos, como el acceso desde una IP desconocida fuera del horario laboral.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Palatino Linotype" w:cs="Palatino Linotype" w:eastAsia="Palatino Linotype" w:hAnsi="Palatino Linotype"/>
          <w:b/>
          <w:bCs/>
          <w:color w:val="2C2C2C"/>
          <w:sz w:val="21"/>
          <w:szCs w:val="21"/>
        </w:rPr>
        <w:t xml:space="preserve">Auditoría de accesos y logs inmutables: </w:t>
      </w:r>
      <w:r>
        <w:rPr>
          <w:rFonts w:ascii="Palatino Linotype" w:cs="Palatino Linotype" w:eastAsia="Palatino Linotype" w:hAnsi="Palatino Linotype"/>
          <w:color w:val="2C2C2C"/>
          <w:sz w:val="21"/>
          <w:szCs w:val="21"/>
        </w:rPr>
        <w:t xml:space="preserve">Registro continuo de todos los accesos a sistemas críticos, almacenado en un servidor de logs separado con controles de integridad. Los logs deben conservarse por un período mínimo de 12 meses.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Palatino Linotype" w:cs="Palatino Linotype" w:eastAsia="Palatino Linotype" w:hAnsi="Palatino Linotype"/>
          <w:b/>
          <w:bCs/>
          <w:color w:val="2C2C2C"/>
          <w:sz w:val="21"/>
          <w:szCs w:val="21"/>
        </w:rPr>
        <w:t xml:space="preserve">Sistemas de detección de intrusos (IDS/IPS): </w:t>
      </w:r>
      <w:r>
        <w:rPr>
          <w:rFonts w:ascii="Palatino Linotype" w:cs="Palatino Linotype" w:eastAsia="Palatino Linotype" w:hAnsi="Palatino Linotype"/>
          <w:color w:val="2C2C2C"/>
          <w:sz w:val="21"/>
          <w:szCs w:val="21"/>
        </w:rPr>
        <w:t xml:space="preserve">Monitoreo del tráfico de red para detectar patrones asociados a ataques conocidos, exfiltración de datos o comunicaciones con servidores de comando y control.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Palatino Linotype" w:cs="Palatino Linotype" w:eastAsia="Palatino Linotype" w:hAnsi="Palatino Linotype"/>
          <w:b/>
          <w:bCs/>
          <w:color w:val="2C2C2C"/>
          <w:sz w:val="21"/>
          <w:szCs w:val="21"/>
        </w:rPr>
        <w:t xml:space="preserve">Herramientas DLP (Data Loss Prevention): </w:t>
      </w:r>
      <w:r>
        <w:rPr>
          <w:rFonts w:ascii="Palatino Linotype" w:cs="Palatino Linotype" w:eastAsia="Palatino Linotype" w:hAnsi="Palatino Linotype"/>
          <w:color w:val="2C2C2C"/>
          <w:sz w:val="21"/>
          <w:szCs w:val="21"/>
        </w:rPr>
        <w:t xml:space="preserve">Detección de intentos de enviar información Confidencial o Crítica a través de canales no autorizados, incluyendo correo electrónico, almacenamiento externo y aplicaciones de mensajería.</w:t>
      </w:r>
    </w:p>
    <w:p>
      <w:pPr>
        <w:pBdr>
          <w:top w:val="none" w:color="FFFFFF" w:sz="0" w:space="0"/>
          <w:left w:val="single" w:color="1B3A2D" w:sz="24" w:space="0"/>
          <w:bottom w:val="single" w:color="C17F24" w:sz="12" w:space="6"/>
          <w:right w:val="none" w:color="FFFFFF" w:sz="0" w:space="0"/>
        </w:pBdr>
        <w:spacing w:after="240" w:before="480"/>
        <w:ind w:left="200"/>
      </w:pPr>
      <w:r>
        <w:rPr>
          <w:rFonts w:ascii="Georgia" w:cs="Georgia" w:eastAsia="Georgia" w:hAnsi="Georgia"/>
          <w:b/>
          <w:bCs/>
          <w:color w:val="1B3A2D"/>
          <w:sz w:val="34"/>
          <w:szCs w:val="34"/>
        </w:rPr>
        <w:t xml:space="preserve">6.5 Controles Correctivos</w:t>
      </w:r>
    </w:p>
    <w:p>
      <w:pPr>
        <w:spacing w:after="40" w:before="40"/>
      </w:pP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17F24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9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D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5E1A"/>
                <w:sz w:val="18"/>
                <w:szCs w:val="18"/>
              </w:rPr>
              <w:t xml:space="preserve">ISO 27002:2022 — Control 8.13 (Resguardo de información / Backup)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2C2C2C"/>
                <w:sz w:val="18"/>
                <w:szCs w:val="18"/>
              </w:rPr>
              <w:t xml:space="preserve">Las copias de seguridad de la información, el software y los sistemas deben realizarse y probarse regularmente de conformidad con la política de copias de seguridad acordada.</w:t>
            </w:r>
          </w:p>
        </w:tc>
      </w:tr>
    </w:tbl>
    <w:p>
      <w:pPr>
        <w:spacing w:after="40" w:before="40"/>
      </w:pPr>
    </w:p>
    <w:p>
      <w:pPr>
        <w:spacing w:after="100" w:before="80"/>
        <w:jc w:val="both"/>
      </w:pPr>
      <w:r>
        <w:rPr>
          <w:rFonts w:ascii="Palatino Linotype" w:cs="Palatino Linotype" w:eastAsia="Palatino Linotype" w:hAnsi="Palatino Linotype"/>
          <w:color w:val="2C2C2C"/>
          <w:sz w:val="21"/>
          <w:szCs w:val="21"/>
        </w:rPr>
        <w:t xml:space="preserve">Los controles correctivos permiten restaurar el estado seguro de los sistemas y operaciones tras la materialización de un incidente. Son la última línea de defensa y su efectividad depende de haber sido diseñados, probados y documentados antes de que el incidente ocurra.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Palatino Linotype" w:cs="Palatino Linotype" w:eastAsia="Palatino Linotype" w:hAnsi="Palatino Linotype"/>
          <w:b/>
          <w:bCs/>
          <w:color w:val="2C2C2C"/>
          <w:sz w:val="21"/>
          <w:szCs w:val="21"/>
        </w:rPr>
        <w:t xml:space="preserve">Backups automatizados e inmutables: </w:t>
      </w:r>
      <w:r>
        <w:rPr>
          <w:rFonts w:ascii="Palatino Linotype" w:cs="Palatino Linotype" w:eastAsia="Palatino Linotype" w:hAnsi="Palatino Linotype"/>
          <w:color w:val="2C2C2C"/>
          <w:sz w:val="21"/>
          <w:szCs w:val="21"/>
        </w:rPr>
        <w:t xml:space="preserve">Respaldos diarios automatizados de todas las bases de datos y repositorios críticos, almacenados en ubicaciones geográficamente separadas. Los backups deben ser inmutables durante el período de retención establecido.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Palatino Linotype" w:cs="Palatino Linotype" w:eastAsia="Palatino Linotype" w:hAnsi="Palatino Linotype"/>
          <w:b/>
          <w:bCs/>
          <w:color w:val="2C2C2C"/>
          <w:sz w:val="21"/>
          <w:szCs w:val="21"/>
        </w:rPr>
        <w:t xml:space="preserve">Procedimientos de restauración documentados y probados: </w:t>
      </w:r>
      <w:r>
        <w:rPr>
          <w:rFonts w:ascii="Palatino Linotype" w:cs="Palatino Linotype" w:eastAsia="Palatino Linotype" w:hAnsi="Palatino Linotype"/>
          <w:color w:val="2C2C2C"/>
          <w:sz w:val="21"/>
          <w:szCs w:val="21"/>
        </w:rPr>
        <w:t xml:space="preserve">Los procedimientos de recuperación deben documentarse y probarse trimestralmente. Esto responde directamente a la pregunta que nadie supo contestar: “¿qué habría pasado si la base de datos se hubiera perdido por completo?”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Palatino Linotype" w:cs="Palatino Linotype" w:eastAsia="Palatino Linotype" w:hAnsi="Palatino Linotype"/>
          <w:b/>
          <w:bCs/>
          <w:color w:val="2C2C2C"/>
          <w:sz w:val="21"/>
          <w:szCs w:val="21"/>
        </w:rPr>
        <w:t xml:space="preserve">Plan de parcheo de emergencia: </w:t>
      </w:r>
      <w:r>
        <w:rPr>
          <w:rFonts w:ascii="Palatino Linotype" w:cs="Palatino Linotype" w:eastAsia="Palatino Linotype" w:hAnsi="Palatino Linotype"/>
          <w:color w:val="2C2C2C"/>
          <w:sz w:val="21"/>
          <w:szCs w:val="21"/>
        </w:rPr>
        <w:t xml:space="preserve">Procedimiento expedito para la aplicación de parches de seguridad críticos que no pueden esperar el ciclo regular de actualizaciones.</w:t>
      </w:r>
    </w:p>
    <w:p>
      <w:pPr>
        <w:pBdr>
          <w:top w:val="none" w:color="FFFFFF" w:sz="0" w:space="0"/>
          <w:left w:val="single" w:color="1B3A2D" w:sz="24" w:space="0"/>
          <w:bottom w:val="single" w:color="C17F24" w:sz="12" w:space="6"/>
          <w:right w:val="none" w:color="FFFFFF" w:sz="0" w:space="0"/>
        </w:pBdr>
        <w:spacing w:after="240" w:before="480"/>
        <w:ind w:left="200"/>
      </w:pPr>
      <w:r>
        <w:rPr>
          <w:rFonts w:ascii="Georgia" w:cs="Georgia" w:eastAsia="Georgia" w:hAnsi="Georgia"/>
          <w:b/>
          <w:bCs/>
          <w:color w:val="1B3A2D"/>
          <w:sz w:val="34"/>
          <w:szCs w:val="34"/>
        </w:rPr>
        <w:t xml:space="preserve">6.6 Defensa en Profundidad y Controles Compensatorios</w:t>
      </w:r>
    </w:p>
    <w:p>
      <w:pPr>
        <w:spacing w:after="40" w:before="40"/>
      </w:pPr>
    </w:p>
    <w:p>
      <w:pPr>
        <w:spacing w:after="100" w:before="80"/>
        <w:jc w:val="both"/>
      </w:pPr>
      <w:r>
        <w:rPr>
          <w:rFonts w:ascii="Palatino Linotype" w:cs="Palatino Linotype" w:eastAsia="Palatino Linotype" w:hAnsi="Palatino Linotype"/>
          <w:color w:val="2C2C2C"/>
          <w:sz w:val="21"/>
          <w:szCs w:val="21"/>
        </w:rPr>
        <w:t xml:space="preserve">La defensa en profundidad es el principio que establece que ningún control único puede garantizar la seguridad completa de un activo. Se propone que NovaTech implemente múltiples capas de controles independientes: el compromiso de una capa no debe resultar en la exposición total del activo. Por ejemplo, la protección de los datos personales de clientes requiere: segmentación de red, control de acceso RBAC, cifrado de la base de datos, DLP en el correo electrónico, monitoreo SIEM y capacitación del personal.</w:t>
      </w:r>
    </w:p>
    <w:p>
      <w:pPr>
        <w:spacing w:after="100" w:before="80"/>
        <w:jc w:val="both"/>
      </w:pPr>
      <w:r>
        <w:rPr>
          <w:rFonts w:ascii="Palatino Linotype" w:cs="Palatino Linotype" w:eastAsia="Palatino Linotype" w:hAnsi="Palatino Linotype"/>
          <w:color w:val="2C2C2C"/>
          <w:sz w:val="21"/>
          <w:szCs w:val="21"/>
        </w:rPr>
        <w:t xml:space="preserve">Los controles compensatorios son controles alternativos implementados cuando el control primario no puede aplicarse por limitaciones técnicas o financieras. Por ejemplo, si un sistema heredado no soporta MFA, el control compensatorio consiste en restringir el acceso a ese sistema exclusivamente a través de una VPN corporativa con monitoreo estricto de sesiones.</w:t>
      </w:r>
    </w:p>
    <w:p>
      <w:pPr>
        <w:spacing w:after="40" w:before="40"/>
      </w:pP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A2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ED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D"/>
                <w:sz w:val="17"/>
                <w:szCs w:val="17"/>
              </w:rPr>
              <w:t xml:space="preserve">Referencia normativa consolidada —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2C2C2C"/>
                <w:sz w:val="17"/>
                <w:szCs w:val="17"/>
              </w:rPr>
              <w:t xml:space="preserve">ISO/IEC 27001:2022 · Cláusula 6.1.3, Anexo A — ISO/IEC 27002:2022 · Controles 5.15, 8.2, 8.5, 8.13, 8.15, 8.16, 8.24 — NIST SP 800-53 Rev.5 (Referencia complementaria)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2D" w:sz="6" w:space="4"/>
      </w:pBdr>
      <w:tabs>
        <w:tab w:val="right" w:pos="9360"/>
      </w:tabs>
      <w:spacing w:before="80"/>
    </w:pPr>
    <w:r>
      <w:rPr>
        <w:rFonts w:ascii="Georgia" w:cs="Georgia" w:eastAsia="Georgia" w:hAnsi="Georgia"/>
        <w:color w:val="D6CDB8"/>
        <w:sz w:val="16"/>
        <w:szCs w:val="16"/>
      </w:rPr>
      <w:t xml:space="preserve">Confidencial — Uso Interno Restringido</w:t>
    </w:r>
    <w:r>
      <w:rPr>
        <w:sz w:val="16"/>
        <w:szCs w:val="16"/>
      </w:rPr>
      <w:t xml:space="preserve">	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17F24" w:sz="6" w:space="4"/>
      </w:pBdr>
      <w:tabs>
        <w:tab w:val="right" w:pos="9360"/>
      </w:tabs>
      <w:spacing w:after="80"/>
    </w:pPr>
    <w:r>
      <w:rPr>
        <w:rFonts w:ascii="Georgia" w:cs="Georgia" w:eastAsia="Georgia" w:hAnsi="Georgia"/>
        <w:b/>
        <w:bCs/>
        <w:color w:val="8B5E1A"/>
        <w:sz w:val="17"/>
        <w:szCs w:val="17"/>
      </w:rPr>
      <w:t xml:space="preserve">SGSI — NovaTech Solutions</w:t>
    </w:r>
    <w:r>
      <w:rPr>
        <w:rFonts w:ascii="Georgia" w:cs="Georgia" w:eastAsia="Georgia" w:hAnsi="Georgia"/>
        <w:color w:val="D6CDB8"/>
        <w:sz w:val="17"/>
        <w:szCs w:val="17"/>
      </w:rPr>
      <w:t xml:space="preserve">	Fase 6 · Controles de Seguridad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40"/>
        <w:ind w:left="720" w:hanging="360"/>
      </w:pPr>
      <w:rPr>
        <w:rFonts w:ascii="Palatino Linotype" w:cs="Palatino Linotype" w:eastAsia="Palatino Linotype" w:hAnsi="Palatino Linotype"/>
        <w:color w:val="C17F24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2026-05-03T08:21:01.720Z</dcterms:created>
  <dcterms:modified xsi:type="dcterms:W3CDTF">2026-05-03T08:21:01.720Z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