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Palatino Linotype" w:cs="Palatino Linotype" w:eastAsia="Palatino Linotype" w:hAnsi="Palatino Linotype"/>
          <w:color w:val="2C2C2C"/>
          <w:sz w:val="21"/>
          <w:szCs w:val="21"/>
        </w:rPr>
        <w:t xml:space="preserve">SISTEMA DE GESTIÓN DE SEGURIDAD DE LA INFORMACIÓN</w:t>
      </w:r>
    </w:p>
    <w:p>
      <w:pPr>
        <w:pBdr>
          <w:bottom w:val="single" w:color="1B3A2D" w:sz="16" w:space="6"/>
        </w:pBdr>
        <w:spacing w:after="60"/>
      </w:pPr>
      <w:r>
        <w:rPr>
          <w:rFonts w:ascii="Georgia" w:cs="Georgia" w:eastAsia="Georgia" w:hAnsi="Georgia"/>
          <w:b/>
          <w:bCs/>
          <w:color w:val="1B3A2D"/>
          <w:sz w:val="32"/>
          <w:szCs w:val="32"/>
        </w:rPr>
        <w:t xml:space="preserve">FASE 7 — CUMPLIMIENTO LEGAL Y NORMATIVO</w:t>
      </w:r>
    </w:p>
    <w:p>
      <w:pPr>
        <w:spacing w:after="60" w:before="80"/>
      </w:pPr>
      <w:r>
        <w:rPr>
          <w:rFonts w:ascii="Georgia" w:cs="Georgia" w:eastAsia="Georgia" w:hAnsi="Georgia"/>
          <w:i/>
          <w:iCs/>
          <w:color w:val="C17F24"/>
          <w:sz w:val="19"/>
          <w:szCs w:val="19"/>
        </w:rPr>
        <w:t xml:space="preserve">NovaTech Solutions · Monterrey, México · 2025</w:t>
      </w:r>
    </w:p>
    <w:p>
      <w:pPr>
        <w:spacing w:after="200" w:before="0"/>
      </w:pPr>
      <w:r>
        <w:rPr>
          <w:rFonts w:ascii="Palatino Linotype" w:cs="Palatino Linotype" w:eastAsia="Palatino Linotype" w:hAnsi="Palatino Linotype"/>
          <w:i/>
          <w:iCs/>
          <w:color w:val="999999"/>
          <w:sz w:val="17"/>
          <w:szCs w:val="17"/>
        </w:rPr>
        <w:t xml:space="preserve">Propuesta técnica elaborada por el equipo consultor de seguridad — Sujeta a revisión y aprobación ejecutiva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17F24" w:val="clear"/>
            <w:tcMar>
              <w:top w:type="dxa" w:w="0"/>
              <w:left w:type="dxa" w:w="0"/>
              <w:bottom w:type="dxa" w:w="0"/>
              <w:right w:type="dxa" w:w="0"/>
            </w:tcMar>
          </w:tcPr>
          <w:p/>
        </w:tc>
        <w:tc>
          <w:tcPr>
            <w:tcW w:type="dxa" w:w="9160"/>
            <w:tcBorders>
              <w:top w:val="none" w:color="FFFFFF" w:sz="0"/>
              <w:left w:val="none" w:color="FFFFFF" w:sz="0"/>
              <w:bottom w:val="none" w:color="FFFFFF" w:sz="0"/>
              <w:right w:val="none" w:color="FFFFFF" w:sz="0"/>
            </w:tcBorders>
            <w:shd w:fill="FFF8EC" w:val="clear"/>
            <w:tcMar>
              <w:top w:type="dxa" w:w="100"/>
              <w:left w:type="dxa" w:w="160"/>
              <w:bottom w:type="dxa" w:w="100"/>
              <w:right w:type="dxa" w:w="160"/>
            </w:tcMar>
          </w:tcPr>
          <w:p>
            <w:r>
              <w:rPr>
                <w:rFonts w:ascii="Courier New" w:cs="Courier New" w:eastAsia="Courier New" w:hAnsi="Courier New"/>
                <w:b/>
                <w:bCs/>
                <w:color w:val="8B5E1A"/>
                <w:sz w:val="17"/>
                <w:szCs w:val="17"/>
              </w:rPr>
              <w:t xml:space="preserve">⚠ PROPUESTA SUJETA A APROBACIÓN EJECUTIVA  </w:t>
            </w:r>
            <w:r>
              <w:rPr>
                <w:rFonts w:ascii="Palatino Linotype" w:cs="Palatino Linotype" w:eastAsia="Palatino Linotype" w:hAnsi="Palatino Linotype"/>
                <w:i/>
                <w:iCs/>
                <w:color w:val="5A3E0A"/>
                <w:sz w:val="17"/>
                <w:szCs w:val="17"/>
              </w:rPr>
              <w:t xml:space="preserve">El contenido de esta fase constituye una recomendación técnica elaborada por el equipo consultor de seguridad. Los análisis, estructuras, roles, controles y documentos aquí propuestos están sujetos a revisión, ajuste y aprobación formal por parte de la Dirección General y el Comité de Seguridad de NovaTech Solutions antes de cualquier implementación.</w:t>
            </w:r>
          </w:p>
        </w:tc>
      </w:tr>
    </w:tbl>
    <w:p>
      <w:pPr>
        <w:spacing w:after="40" w:before="40"/>
      </w:pP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7.1 Marco Normativo Aplicable</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27001:2022 — Cláusula 4.2 (Partes interesadas) / Cláusula 6.1.3 </w:t>
            </w:r>
            <w:r>
              <w:rPr>
                <w:rFonts w:ascii="Palatino Linotype" w:cs="Palatino Linotype" w:eastAsia="Palatino Linotype" w:hAnsi="Palatino Linotype"/>
                <w:i/>
                <w:iCs/>
                <w:color w:val="2C2C2C"/>
                <w:sz w:val="18"/>
                <w:szCs w:val="18"/>
              </w:rPr>
              <w:t xml:space="preserve">Se recomienda que la organización determinar los requisitos legales, reglamentarios y contractuales pertinentes relacionados con la seguridad de la información e incorporarlos en el proceso de evaluación y tratamiento de riesgos.</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La seguridad de la información no solo protege los activos del negocio; también garantiza que NovaTech Solutions no incurra en responsabilidades legales que podrían comprometer su viabilidad. El principal instrumento legal aplicable es la Ley Federal de Protección de Datos Personales en Posesión de los Particulares (LFPDPPP), publicada en el Diario Oficial de la Federación el 5 de julio de 2010, y su Reglamento publicado en 2011. NovaTech, como empresa que recopila, trata y conserva datos personales de clientes y empleados, tiene la condición de "Responsable del Tratamiento" conforme a esta ley.</w:t>
      </w: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7.2 Datos Personales que Gestiona NovaTech Solutions</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LFPDPPP — Artículo 3 (Definiciones) / Artículo 9 (Datos Sensibles) </w:t>
            </w:r>
            <w:r>
              <w:rPr>
                <w:rFonts w:ascii="Palatino Linotype" w:cs="Palatino Linotype" w:eastAsia="Palatino Linotype" w:hAnsi="Palatino Linotype"/>
                <w:i/>
                <w:iCs/>
                <w:color w:val="2C2C2C"/>
                <w:sz w:val="18"/>
                <w:szCs w:val="18"/>
              </w:rPr>
              <w:t xml:space="preserve">Son datos personales sensibles aquellos que afectan la esfera más íntima de su titular y que, en caso de divulgación indebida, podrían dar lugar a discriminación o conllevar un riesgo grave para el titular.</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NovaTech gestiona dos categorías principales de titulares de datos personales, cada una con sus propias obligaciones y riesgos legales:</w:t>
      </w:r>
    </w:p>
    <w:p>
      <w:pPr>
        <w:spacing w:after="120" w:before="280"/>
      </w:pPr>
      <w:r>
        <w:rPr>
          <w:rFonts w:ascii="Georgia" w:cs="Georgia" w:eastAsia="Georgia" w:hAnsi="Georgia"/>
          <w:b/>
          <w:bCs/>
          <w:color w:val="C17F24"/>
          <w:sz w:val="24"/>
          <w:szCs w:val="24"/>
        </w:rPr>
        <w:t xml:space="preserve">▸ a) Datos personales de clientes</w:t>
      </w:r>
    </w:p>
    <w:p>
      <w:pPr>
        <w:spacing w:after="100" w:before="80"/>
        <w:jc w:val="both"/>
      </w:pPr>
      <w:r>
        <w:rPr>
          <w:rFonts w:ascii="Palatino Linotype" w:cs="Palatino Linotype" w:eastAsia="Palatino Linotype" w:hAnsi="Palatino Linotype"/>
          <w:color w:val="2C2C2C"/>
          <w:sz w:val="21"/>
          <w:szCs w:val="21"/>
        </w:rPr>
        <w:t xml:space="preserve">El área de Atención a Clientes gestiona, a través del sistema CRM y el correo electrónico corporativo, datos de contacto (nombre, correo, teléfono), información técnica del servicio contratado y, en algunos casos, datos fiscales para la facturación. El incidente donde un empleado reenvió datos de contacto y detalles técnicos del servicio a una dirección incorrecta constituye una vulneración a los principios de la LFPDPPP que podría obligar a NovaTech a notificar al INAI y a los titulares afectados.</w:t>
      </w:r>
    </w:p>
    <w:p>
      <w:pPr>
        <w:spacing w:after="120" w:before="280"/>
      </w:pPr>
      <w:r>
        <w:rPr>
          <w:rFonts w:ascii="Georgia" w:cs="Georgia" w:eastAsia="Georgia" w:hAnsi="Georgia"/>
          <w:b/>
          <w:bCs/>
          <w:color w:val="C17F24"/>
          <w:sz w:val="24"/>
          <w:szCs w:val="24"/>
        </w:rPr>
        <w:t xml:space="preserve">▸ b) Datos personales de empleados</w:t>
      </w:r>
    </w:p>
    <w:p>
      <w:pPr>
        <w:spacing w:after="100" w:before="80"/>
        <w:jc w:val="both"/>
      </w:pPr>
      <w:r>
        <w:rPr>
          <w:rFonts w:ascii="Palatino Linotype" w:cs="Palatino Linotype" w:eastAsia="Palatino Linotype" w:hAnsi="Palatino Linotype"/>
          <w:color w:val="2C2C2C"/>
          <w:sz w:val="21"/>
          <w:szCs w:val="21"/>
        </w:rPr>
        <w:t xml:space="preserve">El área de Administración (Recursos Humanos) custodia información laboral y personal de los 120 empleados: datos de identificación, información bancaria para nómina, expedientes médicos para seguros y datos de contacto de emergencia. Algunos de estos datos —como los médicos— tienen la condición de "datos sensibles" conforme al Artículo 9 de la LFPDPPP, lo que implica obligaciones reforzadas de protección.</w:t>
      </w: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7.3 Obligaciones Legales y Controles de Cumplimiento</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rPr>
          <w:tblHeader/>
        </w:trPr>
        <w:tc>
          <w:tcPr>
            <w:tcW w:type="dxa" w:w="25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Obligación LFPDPPP</w:t>
            </w:r>
          </w:p>
        </w:tc>
        <w:tc>
          <w:tcPr>
            <w:tcW w:type="dxa" w:w="336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Descripción</w:t>
            </w:r>
          </w:p>
        </w:tc>
        <w:tc>
          <w:tcPr>
            <w:tcW w:type="dxa" w:w="35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Control del SGSI que la satisface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Aviso de privacidad (Art. 15-17)</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Informar a los titulares qué datos se recopilan, con qué finalidad y con quién se comparten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Redacción y publicación de avisos de privacidad para clientes y empleados; revisión legal anual</w:t>
            </w:r>
          </w:p>
        </w:tc>
      </w:tr>
      <w:tr>
        <w:tc>
          <w:tcPr>
            <w:tcW w:type="dxa" w:w="25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Principio de finalidad (Art. 13)</w:t>
            </w:r>
          </w:p>
        </w:tc>
        <w:tc>
          <w:tcPr>
            <w:tcW w:type="dxa" w:w="33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Los datos solo pueden tratarse para los fines establecidos en el aviso de privacidad</w:t>
            </w:r>
          </w:p>
        </w:tc>
        <w:tc>
          <w:tcPr>
            <w:tcW w:type="dxa" w:w="35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Política de clasificación de información; controles RBAC que limitan el acceso según rol y necesidad</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Medidas de seguridad (Art. 14)</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Implementar medidas de seguridad administrativas, técnicas y físicas proporcionales al riesgo</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El SGSI completo: controles de acceso, cifrado, backups, capacitación, gestión de incidentes</w:t>
            </w:r>
          </w:p>
        </w:tc>
      </w:tr>
      <w:tr>
        <w:tc>
          <w:tcPr>
            <w:tcW w:type="dxa" w:w="25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Notificación de violaciones (Art. 36)</w:t>
            </w:r>
          </w:p>
        </w:tc>
        <w:tc>
          <w:tcPr>
            <w:tcW w:type="dxa" w:w="33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Notificar al INAI y a los titulares cuando ocurra una violación de seguridad que afecte sus derechos</w:t>
            </w:r>
          </w:p>
        </w:tc>
        <w:tc>
          <w:tcPr>
            <w:tcW w:type="dxa" w:w="35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Procedimiento de gestión de incidentes (Fase 9); evaluación legal del CSIRT</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Derechos ARCO (Art. 22-37)</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Atender solicitudes de Acceso, Rectificación, Cancelación y Oposición de datos personales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Procedimiento ARCO documentado; propietario de activos designado para gestionar solicitudes</w:t>
            </w:r>
          </w:p>
        </w:tc>
      </w:tr>
      <w:tr>
        <w:tc>
          <w:tcPr>
            <w:tcW w:type="dxa" w:w="25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Transferencia de datos (Art. 36)</w:t>
            </w:r>
          </w:p>
        </w:tc>
        <w:tc>
          <w:tcPr>
            <w:tcW w:type="dxa" w:w="33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Regular la transferencia de datos a terceros y proveedores en la nube</w:t>
            </w:r>
          </w:p>
        </w:tc>
        <w:tc>
          <w:tcPr>
            <w:tcW w:type="dxa" w:w="35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Cláusulas contractuales de protección de datos con proveedores cloud; inventario de transferencias</w:t>
            </w:r>
          </w:p>
        </w:tc>
      </w:tr>
    </w:tbl>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7.4 Gestión de Proveedores y Nube</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27002:2022 — Control 5.19 (Seguridad de la información en las relaciones con los proveedores) </w:t>
            </w:r>
            <w:r>
              <w:rPr>
                <w:rFonts w:ascii="Palatino Linotype" w:cs="Palatino Linotype" w:eastAsia="Palatino Linotype" w:hAnsi="Palatino Linotype"/>
                <w:i/>
                <w:iCs/>
                <w:color w:val="2C2C2C"/>
                <w:sz w:val="18"/>
                <w:szCs w:val="18"/>
              </w:rPr>
              <w:t xml:space="preserve">Se recomienda que la organización definir e implementar procesos y procedimientos para gestionar los riesgos de seguridad de la información asociados al uso de productos y servicios de proveedores.</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Los proveedores de infraestructura en la nube utilizados por NovaTech son considerados "encargados del tratamiento" bajo la LFPDPPP cuando procesan datos personales de clientes o empleados por cuenta de NovaTech. Esto obliga a formalizar la relación mediante contratos que incluyan cláusulas específicas de protección de datos, derechos de auditoría y obligaciones ante incidentes de seguridad. El CISO debe mantener un registro actualizado de todos los proveedores que tienen acceso a datos personales gestionados por NovaTech.</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1B3A2D" w:val="clear"/>
            <w:tcMar>
              <w:top w:type="dxa" w:w="0"/>
              <w:left w:type="dxa" w:w="0"/>
              <w:bottom w:type="dxa" w:w="0"/>
              <w:right w:type="dxa" w:w="0"/>
            </w:tcMar>
          </w:tcPr>
          <w:p/>
        </w:tc>
        <w:tc>
          <w:tcPr>
            <w:tcW w:type="dxa" w:w="9160"/>
            <w:tcBorders>
              <w:top w:val="nil" w:color="FFFFFF" w:sz="0"/>
              <w:left w:val="nil" w:color="FFFFFF" w:sz="0"/>
              <w:bottom w:val="nil" w:color="FFFFFF" w:sz="0"/>
              <w:right w:val="nil" w:color="FFFFFF" w:sz="0"/>
            </w:tcBorders>
            <w:shd w:fill="E8EDE9" w:val="clear"/>
            <w:tcMar>
              <w:top w:type="dxa" w:w="80"/>
              <w:left w:type="dxa" w:w="160"/>
              <w:bottom w:type="dxa" w:w="80"/>
              <w:right w:type="dxa" w:w="160"/>
            </w:tcMar>
          </w:tcPr>
          <w:p>
            <w:r>
              <w:rPr>
                <w:rFonts w:ascii="Courier New" w:cs="Courier New" w:eastAsia="Courier New" w:hAnsi="Courier New"/>
                <w:b/>
                <w:bCs/>
                <w:color w:val="1B3A2D"/>
                <w:sz w:val="17"/>
                <w:szCs w:val="17"/>
              </w:rPr>
              <w:t xml:space="preserve">Referencia normativa consolidada — </w:t>
            </w:r>
            <w:r>
              <w:rPr>
                <w:rFonts w:ascii="Palatino Linotype" w:cs="Palatino Linotype" w:eastAsia="Palatino Linotype" w:hAnsi="Palatino Linotype"/>
                <w:i/>
                <w:iCs/>
                <w:color w:val="2C2C2C"/>
                <w:sz w:val="17"/>
                <w:szCs w:val="17"/>
              </w:rPr>
              <w:t xml:space="preserve">LFPDPPP (México) · Arts. 3, 9, 13-17, 22-37 — Reglamento LFPDPPP 2011 — ISO/IEC 27001:2022 · Cláusulas 4.2, 6.1.3 — ISO/IEC 27002:2022 · Controles 5.19, 5.31, 5.34</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2D" w:sz="6" w:space="4"/>
      </w:pBdr>
      <w:tabs>
        <w:tab w:val="right" w:pos="9360"/>
      </w:tabs>
      <w:spacing w:before="80"/>
    </w:pPr>
    <w:r>
      <w:rPr>
        <w:rFonts w:ascii="Georgia" w:cs="Georgia" w:eastAsia="Georgia" w:hAnsi="Georgia"/>
        <w:color w:val="D6CDB8"/>
        <w:sz w:val="16"/>
        <w:szCs w:val="16"/>
      </w:rPr>
      <w:t xml:space="preserve">Confidencial — Uso Interno Restringido</w:t>
    </w:r>
    <w:r>
      <w:rPr>
        <w:sz w:val="16"/>
        <w:szCs w:val="16"/>
      </w:rPr>
      <w:t xml:space="preserv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17F24" w:sz="6" w:space="4"/>
      </w:pBdr>
      <w:tabs>
        <w:tab w:val="right" w:pos="9360"/>
      </w:tabs>
      <w:spacing w:after="80"/>
    </w:pPr>
    <w:r>
      <w:rPr>
        <w:rFonts w:ascii="Georgia" w:cs="Georgia" w:eastAsia="Georgia" w:hAnsi="Georgia"/>
        <w:b/>
        <w:bCs/>
        <w:color w:val="8B5E1A"/>
        <w:sz w:val="17"/>
        <w:szCs w:val="17"/>
      </w:rPr>
      <w:t xml:space="preserve">SGSI — NovaTech Solutions</w:t>
    </w:r>
    <w:r>
      <w:rPr>
        <w:rFonts w:ascii="Georgia" w:cs="Georgia" w:eastAsia="Georgia" w:hAnsi="Georgia"/>
        <w:color w:val="D6CDB8"/>
        <w:sz w:val="17"/>
        <w:szCs w:val="17"/>
      </w:rPr>
      <w:t xml:space="preserve">	Fase 7 · Cumplimiento Legal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40"/>
        <w:ind w:left="720" w:hanging="360"/>
      </w:pPr>
      <w:rPr>
        <w:rFonts w:ascii="Palatino Linotype" w:cs="Palatino Linotype" w:eastAsia="Palatino Linotype" w:hAnsi="Palatino Linotype"/>
        <w:color w:val="C17F24"/>
        <w:sz w:val="21"/>
        <w:szCs w:val="21"/>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2026-05-03T08:21:01.783Z</dcterms:created>
  <dcterms:modified xsi:type="dcterms:W3CDTF">2026-05-03T08:21:01.783Z</dcterms:modified>
</cp:coreProperties>
</file>

<file path=docProps/custom.xml><?xml version="1.0" encoding="utf-8"?>
<Properties xmlns="http://schemas.openxmlformats.org/officeDocument/2006/custom-properties" xmlns:vt="http://schemas.openxmlformats.org/officeDocument/2006/docPropsVTypes"/>
</file>