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Palatino Linotype" w:cs="Palatino Linotype" w:eastAsia="Palatino Linotype" w:hAnsi="Palatino Linotype"/>
          <w:color w:val="2C2C2C"/>
          <w:sz w:val="21"/>
          <w:szCs w:val="21"/>
        </w:rPr>
        <w:t xml:space="preserve">SISTEMA DE GESTIÓN DE SEGURIDAD DE LA INFORMACIÓN</w:t>
      </w:r>
    </w:p>
    <w:p>
      <w:pPr>
        <w:pBdr>
          <w:bottom w:val="single" w:color="1B3A2D" w:sz="16" w:space="6"/>
        </w:pBdr>
        <w:spacing w:after="60"/>
      </w:pPr>
      <w:r>
        <w:rPr>
          <w:rFonts w:ascii="Georgia" w:cs="Georgia" w:eastAsia="Georgia" w:hAnsi="Georgia"/>
          <w:b/>
          <w:bCs/>
          <w:color w:val="1B3A2D"/>
          <w:sz w:val="32"/>
          <w:szCs w:val="32"/>
        </w:rPr>
        <w:t xml:space="preserve">FASE 8 — CONTINUIDAD DEL NEGOCIO Y RECUPERACIÓN ANTE DESASTRES</w:t>
      </w:r>
    </w:p>
    <w:p>
      <w:pPr>
        <w:spacing w:after="60" w:before="80"/>
      </w:pPr>
      <w:r>
        <w:rPr>
          <w:rFonts w:ascii="Georgia" w:cs="Georgia" w:eastAsia="Georgia" w:hAnsi="Georgia"/>
          <w:i/>
          <w:iCs/>
          <w:color w:val="C17F24"/>
          <w:sz w:val="19"/>
          <w:szCs w:val="19"/>
        </w:rPr>
        <w:t xml:space="preserve">NovaTech Solutions · Monterrey, México · 2025</w:t>
      </w:r>
    </w:p>
    <w:p>
      <w:pPr>
        <w:spacing w:after="200" w:before="0"/>
      </w:pPr>
      <w:r>
        <w:rPr>
          <w:rFonts w:ascii="Palatino Linotype" w:cs="Palatino Linotype" w:eastAsia="Palatino Linotype" w:hAnsi="Palatino Linotype"/>
          <w:i/>
          <w:iCs/>
          <w:color w:val="999999"/>
          <w:sz w:val="17"/>
          <w:szCs w:val="17"/>
        </w:rPr>
        <w:t xml:space="preserve">Propuesta técnica elaborada por el equipo consultor de seguridad — Sujeta a revisión y aprobación ejecutiva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17F24"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FF8EC" w:val="clear"/>
            <w:tcMar>
              <w:top w:type="dxa" w:w="100"/>
              <w:left w:type="dxa" w:w="160"/>
              <w:bottom w:type="dxa" w:w="100"/>
              <w:right w:type="dxa" w:w="160"/>
            </w:tcMar>
          </w:tcPr>
          <w:p>
            <w:r>
              <w:rPr>
                <w:rFonts w:ascii="Courier New" w:cs="Courier New" w:eastAsia="Courier New" w:hAnsi="Courier New"/>
                <w:b/>
                <w:bCs/>
                <w:color w:val="8B5E1A"/>
                <w:sz w:val="17"/>
                <w:szCs w:val="17"/>
              </w:rPr>
              <w:t xml:space="preserve">⚠ PROPUESTA SUJETA A APROBACIÓN EJECUTIVA  </w:t>
            </w:r>
            <w:r>
              <w:rPr>
                <w:rFonts w:ascii="Palatino Linotype" w:cs="Palatino Linotype" w:eastAsia="Palatino Linotype" w:hAnsi="Palatino Linotype"/>
                <w:i/>
                <w:iCs/>
                <w:color w:val="5A3E0A"/>
                <w:sz w:val="17"/>
                <w:szCs w:val="17"/>
              </w:rPr>
              <w:t xml:space="preserve">El contenido de esta fase constituye una recomendación técnica elaborada por el equipo consultor de seguridad. Los análisis, estructuras, roles, controles y documentos aquí propuestos están sujetos a revisión, ajuste y aprobación formal por parte de la Dirección General y el Comité de Seguridad de NovaTech Solutions antes de cualquier implementación.</w:t>
            </w:r>
          </w:p>
        </w:tc>
      </w:tr>
    </w:tbl>
    <w:p>
      <w:pPr>
        <w:spacing w:after="40" w:before="40"/>
      </w:pP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8.1 Fundamentos de la Resiliencia Organizacional</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8.1 / ISO 27002:2022 — Control 5.29 (Seguridad de la información durante la interrupción) </w:t>
            </w:r>
            <w:r>
              <w:rPr>
                <w:rFonts w:ascii="Palatino Linotype" w:cs="Palatino Linotype" w:eastAsia="Palatino Linotype" w:hAnsi="Palatino Linotype"/>
                <w:i/>
                <w:iCs/>
                <w:color w:val="2C2C2C"/>
                <w:sz w:val="18"/>
                <w:szCs w:val="18"/>
              </w:rPr>
              <w:t xml:space="preserve">Se recomienda que la organización planificar cómo mantener la seguridad de la información a un nivel apropiado durante una situación adversa, así como establecer, implementar, mantener y mejorar continuamente su continuidad de la seguridad de la información.</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El crecimiento acelerado de NovaTech Solutions ha generado dependencias tecnológicas críticas cuya interrupción tiene un impacto directo sobre los clientes, la reputación y los ingresos de la empresa. El incidente del CRM —que permaneció inactivo durante casi seis horas y dejó al departamento de Atención a Clientes completamente paralizado— dejó en evidencia que la organización no estaba preparada para responder a una disrupción de sus sistemas críticos. La Fase 8 establece los mecanismos para que NovaTech pueda sobrevivir y recuperarse de eventos adversos de forma ordenada y documentada.</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8.2 Plan de Continuidad del Negocio (BCP)</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27002:2022 — Control 5.30 (Preparación de las TIC para la continuidad del negocio) </w:t>
            </w:r>
            <w:r>
              <w:rPr>
                <w:rFonts w:ascii="Palatino Linotype" w:cs="Palatino Linotype" w:eastAsia="Palatino Linotype" w:hAnsi="Palatino Linotype"/>
                <w:i/>
                <w:iCs/>
                <w:color w:val="2C2C2C"/>
                <w:sz w:val="18"/>
                <w:szCs w:val="18"/>
              </w:rPr>
              <w:t xml:space="preserve">La preparación de las TIC debe planificarse, implementarse, mantenerse y probarse basándose en los objetivos de continuidad del negocio y en los requisitos de continuidad de las TIC.</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El Plan de Continuidad del Negocio (BCP) de NovaTech está enfocado en mantener las operaciones críticas del negocio funcionando a un nivel mínimo aceptable durante una crisis, independientemente de su naturaleza. El BCP no es un documento de recuperación técnica —ese es el rol del DRP—, sino un plan de gestión operativa que responde a la pregunta: "¿cómo seguimos operando para nuestros clientes mientras resolvemos el problema técnico?"</w:t>
      </w:r>
    </w:p>
    <w:p>
      <w:pPr>
        <w:spacing w:after="80" w:before="200"/>
      </w:pPr>
      <w:r>
        <w:rPr>
          <w:rFonts w:ascii="Georgia" w:cs="Georgia" w:eastAsia="Georgia" w:hAnsi="Georgia"/>
          <w:b/>
          <w:bCs/>
          <w:color w:val="1B3A2D"/>
          <w:sz w:val="21"/>
          <w:szCs w:val="21"/>
        </w:rPr>
        <w:t xml:space="preserve">Identificación de Procesos Críticos del Negocio (BIA — Business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Proceso Crítico</w:t>
            </w:r>
          </w:p>
        </w:tc>
        <w:tc>
          <w:tcPr>
            <w:tcW w:type="dxa" w:w="18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Departamento</w:t>
            </w:r>
          </w:p>
        </w:tc>
        <w:tc>
          <w:tcPr>
            <w:tcW w:type="dxa" w:w="18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RTO (máx. tiempo de inactividad)</w:t>
            </w:r>
          </w:p>
        </w:tc>
        <w:tc>
          <w:tcPr>
            <w:tcW w:type="dxa" w:w="18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RPO (máx. pérdida de datos)</w:t>
            </w:r>
          </w:p>
        </w:tc>
        <w:tc>
          <w:tcPr>
            <w:tcW w:type="dxa" w:w="15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Impacto si falla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Soporte técnico a clientes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Atención a Clientes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4 horas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1 hora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Alto — incumplimiento de SLA</w:t>
            </w:r>
          </w:p>
        </w:tc>
      </w:tr>
      <w:tr>
        <w:tc>
          <w:tcPr>
            <w:tcW w:type="dxa" w:w="24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Despliegue y mantenimiento de plataformas</w:t>
            </w:r>
          </w:p>
        </w:tc>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Desarrollo de Software</w:t>
            </w:r>
          </w:p>
        </w:tc>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8 horas</w:t>
            </w:r>
          </w:p>
        </w:tc>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30 minutos</w:t>
            </w:r>
          </w:p>
        </w:tc>
        <w:tc>
          <w:tcPr>
            <w:tcW w:type="dxa" w:w="15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Alto — impacto en clientes finales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Facturación y gestión de contratos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Administración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24 horas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4 horas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Medio — impacto financiero interno</w:t>
            </w:r>
          </w:p>
        </w:tc>
      </w:tr>
      <w:tr>
        <w:tc>
          <w:tcPr>
            <w:tcW w:type="dxa" w:w="24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Acceso al código fuente (repositorios)</w:t>
            </w:r>
          </w:p>
        </w:tc>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Desarrollo</w:t>
            </w:r>
          </w:p>
        </w:tc>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2 horas</w:t>
            </w:r>
          </w:p>
        </w:tc>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15 minutos</w:t>
            </w:r>
          </w:p>
        </w:tc>
        <w:tc>
          <w:tcPr>
            <w:tcW w:type="dxa" w:w="15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Crítico — paraliza el desarrollo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Autenticación y gestión de accesos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TI (todos)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1 hora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N/A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Crítico — bloquea todas las operaciones</w:t>
            </w:r>
          </w:p>
        </w:tc>
      </w:tr>
    </w:tbl>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8.3 Plan de Recuperación ante Desastres (DRP)</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27002:2022 — Control 8.14 (Redundancia de las instalaciones de procesamiento de información) </w:t>
            </w:r>
            <w:r>
              <w:rPr>
                <w:rFonts w:ascii="Palatino Linotype" w:cs="Palatino Linotype" w:eastAsia="Palatino Linotype" w:hAnsi="Palatino Linotype"/>
                <w:i/>
                <w:iCs/>
                <w:color w:val="2C2C2C"/>
                <w:sz w:val="18"/>
                <w:szCs w:val="18"/>
              </w:rPr>
              <w:t xml:space="preserve">Las instalaciones de procesamiento de información deben implementarse con suficiente redundancia para cumplir los requisitos de disponibilidad.</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El Plan de Recuperación ante Desastres (DRP) de NovaTech está enfocado en la restauración técnica de los sistemas e infraestructura tecnológica comprometida. Define los procedimientos técnicos detallados para cada escenario de desastre identificado, los responsables de ejecución y los criterios de verificación para declarar la recuperación completada.</w:t>
      </w:r>
    </w:p>
    <w:p>
      <w:pPr>
        <w:spacing w:after="120" w:before="280"/>
      </w:pPr>
      <w:r>
        <w:rPr>
          <w:rFonts w:ascii="Georgia" w:cs="Georgia" w:eastAsia="Georgia" w:hAnsi="Georgia"/>
          <w:b/>
          <w:bCs/>
          <w:color w:val="C17F24"/>
          <w:sz w:val="24"/>
          <w:szCs w:val="24"/>
        </w:rPr>
        <w:t xml:space="preserve">▸ Escenario 1: Ataque de Ransomware (código fuente cifrado)</w:t>
      </w:r>
    </w:p>
    <w:p>
      <w:pPr>
        <w:spacing w:after="100" w:before="80"/>
        <w:jc w:val="both"/>
      </w:pPr>
      <w:r>
        <w:rPr>
          <w:rFonts w:ascii="Palatino Linotype" w:cs="Palatino Linotype" w:eastAsia="Palatino Linotype" w:hAnsi="Palatino Linotype"/>
          <w:color w:val="2C2C2C"/>
          <w:sz w:val="21"/>
          <w:szCs w:val="21"/>
        </w:rPr>
        <w:t xml:space="preserve">Ante un ataque de ransomware que cifre los repositorios de código fuente, el DRP establece: (1) Aislamiento inmediato de los sistemas afectados de la red corporativa, (2) Activación del CSIRT y notificación a la Dirección, (3) Evaluación de la cobertura del último backup inmutable disponible, (4) Restauración desde el backup verificado en el entorno de producción alternativo, (5) Verificación de integridad del código restaurado, (6) Análisis forense del vector de ataque para prevenir reinfección. El RTO objetivo para este escenario es de 4 horas.</w:t>
      </w:r>
    </w:p>
    <w:p>
      <w:pPr>
        <w:spacing w:after="120" w:before="280"/>
      </w:pPr>
      <w:r>
        <w:rPr>
          <w:rFonts w:ascii="Georgia" w:cs="Georgia" w:eastAsia="Georgia" w:hAnsi="Georgia"/>
          <w:b/>
          <w:bCs/>
          <w:color w:val="C17F24"/>
          <w:sz w:val="24"/>
          <w:szCs w:val="24"/>
        </w:rPr>
        <w:t xml:space="preserve">▸ Escenario 2: Falla de Infraestructura (CRM inactivo)</w:t>
      </w:r>
    </w:p>
    <w:p>
      <w:pPr>
        <w:spacing w:after="100" w:before="80"/>
        <w:jc w:val="both"/>
      </w:pPr>
      <w:r>
        <w:rPr>
          <w:rFonts w:ascii="Palatino Linotype" w:cs="Palatino Linotype" w:eastAsia="Palatino Linotype" w:hAnsi="Palatino Linotype"/>
          <w:color w:val="2C2C2C"/>
          <w:sz w:val="21"/>
          <w:szCs w:val="21"/>
        </w:rPr>
        <w:t xml:space="preserve">La repetición del incidente documentado —caída del CRM por mala configuración— debe ser respondida conforme a un procedimiento predefinido que elimine la improvisación. El DRP establece: (1) Activación del entorno de standby (servidor de respaldo con la última imagen del sistema), (2) Redirección del tráfico mediante balanceador de carga, (3) Verificación de integridad de datos en el entorno de respaldo, (4) Comunicación a los usuarios afectados del tiempo estimado de recuperación. La implementación de arquitectura de alta disponibilidad (HA) con al menos dos nodos activos reducirá este tipo de incidentes de forma preventiva.</w:t>
      </w:r>
    </w:p>
    <w:p>
      <w:pPr>
        <w:spacing w:after="120" w:before="280"/>
      </w:pPr>
      <w:r>
        <w:rPr>
          <w:rFonts w:ascii="Georgia" w:cs="Georgia" w:eastAsia="Georgia" w:hAnsi="Georgia"/>
          <w:b/>
          <w:bCs/>
          <w:color w:val="C17F24"/>
          <w:sz w:val="24"/>
          <w:szCs w:val="24"/>
        </w:rPr>
        <w:t xml:space="preserve">▸ Escenario 3: Pérdida Completa de Datos (base de datos de clientes)</w:t>
      </w:r>
    </w:p>
    <w:p>
      <w:pPr>
        <w:spacing w:after="100" w:before="80"/>
        <w:jc w:val="both"/>
      </w:pPr>
      <w:r>
        <w:rPr>
          <w:rFonts w:ascii="Palatino Linotype" w:cs="Palatino Linotype" w:eastAsia="Palatino Linotype" w:hAnsi="Palatino Linotype"/>
          <w:color w:val="2C2C2C"/>
          <w:sz w:val="21"/>
          <w:szCs w:val="21"/>
        </w:rPr>
        <w:t xml:space="preserve">Este es el escenario que "nadie supo contestar" durante la reunión post-incidente. El DRP establece con precisión: la política de backups garantiza copias diarias cifradas almacenadas en tres ubicaciones distintas (dos en la nube, una off-site física). El RPO máximo aceptable es de 1 hora para la base de datos de clientes, lo que requiere backups incrementales cada hora. La restauración se propone que se complete dentro del RTO de 4 horas, con verificación de integridad incluida.</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8.4 Pruebas y Mantenimiento del BCP/DRP</w:t>
      </w:r>
    </w:p>
    <w:p>
      <w:pPr>
        <w:spacing w:after="40" w:before="40"/>
      </w:pPr>
    </w:p>
    <w:p>
      <w:pPr>
        <w:spacing w:after="100" w:before="80"/>
        <w:jc w:val="both"/>
      </w:pPr>
      <w:r>
        <w:rPr>
          <w:rFonts w:ascii="Palatino Linotype" w:cs="Palatino Linotype" w:eastAsia="Palatino Linotype" w:hAnsi="Palatino Linotype"/>
          <w:color w:val="2C2C2C"/>
          <w:sz w:val="21"/>
          <w:szCs w:val="21"/>
        </w:rPr>
        <w:t xml:space="preserve">Un plan que no ha sido probado es un plan no verificado. NovaTech debe ejecutar pruebas programadas del BCP y DRP al menos una vez al año, incluyendo ejercicios de mesa (tabletop exercises) con el equipo directivo para escenarios de alto impacto y pruebas técnicas de restauración de backups de forma trimestral. Los resultados de las pruebas deben documentarse y las brechas identificadas deben incorporarse al plan de mejora continua del SGSI.</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1B3A2D" w:val="clear"/>
            <w:tcMar>
              <w:top w:type="dxa" w:w="0"/>
              <w:left w:type="dxa" w:w="0"/>
              <w:bottom w:type="dxa" w:w="0"/>
              <w:right w:type="dxa" w:w="0"/>
            </w:tcMar>
          </w:tcPr>
          <w:p/>
        </w:tc>
        <w:tc>
          <w:tcPr>
            <w:tcW w:type="dxa" w:w="9160"/>
            <w:tcBorders>
              <w:top w:val="nil" w:color="FFFFFF" w:sz="0"/>
              <w:left w:val="nil" w:color="FFFFFF" w:sz="0"/>
              <w:bottom w:val="nil" w:color="FFFFFF" w:sz="0"/>
              <w:right w:val="nil" w:color="FFFFFF" w:sz="0"/>
            </w:tcBorders>
            <w:shd w:fill="E8EDE9" w:val="clear"/>
            <w:tcMar>
              <w:top w:type="dxa" w:w="80"/>
              <w:left w:type="dxa" w:w="160"/>
              <w:bottom w:type="dxa" w:w="80"/>
              <w:right w:type="dxa" w:w="160"/>
            </w:tcMar>
          </w:tcPr>
          <w:p>
            <w:r>
              <w:rPr>
                <w:rFonts w:ascii="Courier New" w:cs="Courier New" w:eastAsia="Courier New" w:hAnsi="Courier New"/>
                <w:b/>
                <w:bCs/>
                <w:color w:val="1B3A2D"/>
                <w:sz w:val="17"/>
                <w:szCs w:val="17"/>
              </w:rPr>
              <w:t xml:space="preserve">Referencia normativa consolidada — </w:t>
            </w:r>
            <w:r>
              <w:rPr>
                <w:rFonts w:ascii="Palatino Linotype" w:cs="Palatino Linotype" w:eastAsia="Palatino Linotype" w:hAnsi="Palatino Linotype"/>
                <w:i/>
                <w:iCs/>
                <w:color w:val="2C2C2C"/>
                <w:sz w:val="17"/>
                <w:szCs w:val="17"/>
              </w:rPr>
              <w:t xml:space="preserve">ISO/IEC 27001:2022 · Cláusula 8.1 — ISO/IEC 27002:2022 · Controles 5.29, 5.30, 8.13, 8.14 — ISO 22301:2019 (Continuidad del Negocio) — LFPDPPP (México) · Art. 36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2D" w:sz="6" w:space="4"/>
      </w:pBdr>
      <w:tabs>
        <w:tab w:val="right" w:pos="9360"/>
      </w:tabs>
      <w:spacing w:before="80"/>
    </w:pPr>
    <w:r>
      <w:rPr>
        <w:rFonts w:ascii="Georgia" w:cs="Georgia" w:eastAsia="Georgia" w:hAnsi="Georgia"/>
        <w:color w:val="D6CDB8"/>
        <w:sz w:val="16"/>
        <w:szCs w:val="16"/>
      </w:rPr>
      <w:t xml:space="preserve">Confidencial — Uso Interno Restringido</w:t>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7F24" w:sz="6" w:space="4"/>
      </w:pBdr>
      <w:tabs>
        <w:tab w:val="right" w:pos="9360"/>
      </w:tabs>
      <w:spacing w:after="80"/>
    </w:pPr>
    <w:r>
      <w:rPr>
        <w:rFonts w:ascii="Georgia" w:cs="Georgia" w:eastAsia="Georgia" w:hAnsi="Georgia"/>
        <w:b/>
        <w:bCs/>
        <w:color w:val="8B5E1A"/>
        <w:sz w:val="17"/>
        <w:szCs w:val="17"/>
      </w:rPr>
      <w:t xml:space="preserve">SGSI — NovaTech Solutions</w:t>
    </w:r>
    <w:r>
      <w:rPr>
        <w:rFonts w:ascii="Georgia" w:cs="Georgia" w:eastAsia="Georgia" w:hAnsi="Georgia"/>
        <w:color w:val="D6CDB8"/>
        <w:sz w:val="17"/>
        <w:szCs w:val="17"/>
      </w:rPr>
      <w:t xml:space="preserve">	Fase 8 · Continuidad del Negocio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720" w:hanging="360"/>
      </w:pPr>
      <w:rPr>
        <w:rFonts w:ascii="Palatino Linotype" w:cs="Palatino Linotype" w:eastAsia="Palatino Linotype" w:hAnsi="Palatino Linotype"/>
        <w:color w:val="C17F24"/>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2026-05-03T08:21:01.842Z</dcterms:created>
  <dcterms:modified xsi:type="dcterms:W3CDTF">2026-05-03T08:21:01.842Z</dcterms:modified>
</cp:coreProperties>
</file>

<file path=docProps/custom.xml><?xml version="1.0" encoding="utf-8"?>
<Properties xmlns="http://schemas.openxmlformats.org/officeDocument/2006/custom-properties" xmlns:vt="http://schemas.openxmlformats.org/officeDocument/2006/docPropsVTypes"/>
</file>